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C2054">
      <w:pPr>
        <w:spacing w:before="120" w:after="120" w:line="400" w:lineRule="exact"/>
        <w:jc w:val="left"/>
        <w:outlineLvl w:val="2"/>
        <w:rPr>
          <w:rFonts w:hint="eastAsia" w:ascii="宋体" w:hAnsi="宋体" w:cs="宋体"/>
          <w:b/>
          <w:color w:val="auto"/>
          <w:sz w:val="28"/>
          <w:szCs w:val="21"/>
          <w:highlight w:val="none"/>
        </w:rPr>
      </w:pPr>
      <w:bookmarkStart w:id="3" w:name="_GoBack"/>
      <w:bookmarkStart w:id="0" w:name="_Toc153530138"/>
      <w:bookmarkStart w:id="1" w:name="_Toc153529658"/>
      <w:bookmarkStart w:id="2" w:name="_Toc154390536"/>
      <w:r>
        <w:rPr>
          <w:rFonts w:ascii="宋体" w:hAnsi="宋体"/>
          <w:b/>
          <w:color w:val="auto"/>
          <w:sz w:val="28"/>
          <w:szCs w:val="21"/>
          <w:highlight w:val="none"/>
        </w:rPr>
        <w:t>附件</w:t>
      </w:r>
      <w:r>
        <w:rPr>
          <w:rFonts w:hint="eastAsia" w:ascii="宋体" w:hAnsi="宋体"/>
          <w:b/>
          <w:color w:val="auto"/>
          <w:sz w:val="28"/>
          <w:szCs w:val="21"/>
          <w:highlight w:val="none"/>
        </w:rPr>
        <w:t>2：</w:t>
      </w:r>
      <w:r>
        <w:rPr>
          <w:rFonts w:hint="eastAsia" w:ascii="宋体" w:hAnsi="宋体" w:cs="宋体"/>
          <w:b/>
          <w:color w:val="auto"/>
          <w:sz w:val="28"/>
          <w:szCs w:val="21"/>
          <w:highlight w:val="none"/>
        </w:rPr>
        <w:t>评标办法前附表</w:t>
      </w:r>
      <w:bookmarkEnd w:id="0"/>
      <w:bookmarkEnd w:id="1"/>
      <w:bookmarkEnd w:id="2"/>
    </w:p>
    <w:bookmarkEnd w:id="3"/>
    <w:p w14:paraId="4B1BAD56">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 xml:space="preserve"> 评标办法前附表</w:t>
      </w:r>
    </w:p>
    <w:tbl>
      <w:tblPr>
        <w:tblStyle w:val="5"/>
        <w:tblW w:w="50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334"/>
        <w:gridCol w:w="6551"/>
      </w:tblGrid>
      <w:tr w14:paraId="4CA1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32" w:type="pct"/>
            <w:noWrap w:val="0"/>
            <w:vAlign w:val="center"/>
          </w:tcPr>
          <w:p w14:paraId="2F034D5C">
            <w:pPr>
              <w:spacing w:line="264" w:lineRule="auto"/>
              <w:ind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773" w:type="pct"/>
            <w:noWrap w:val="0"/>
            <w:vAlign w:val="center"/>
          </w:tcPr>
          <w:p w14:paraId="4834E8DA">
            <w:pPr>
              <w:spacing w:line="264" w:lineRule="auto"/>
              <w:jc w:val="center"/>
              <w:rPr>
                <w:rFonts w:hint="eastAsia" w:ascii="宋体" w:hAnsi="宋体" w:cs="宋体"/>
                <w:color w:val="auto"/>
                <w:szCs w:val="21"/>
                <w:highlight w:val="none"/>
              </w:rPr>
            </w:pPr>
            <w:r>
              <w:rPr>
                <w:rFonts w:hint="eastAsia" w:ascii="宋体" w:hAnsi="宋体" w:cs="宋体"/>
                <w:color w:val="auto"/>
                <w:szCs w:val="21"/>
                <w:highlight w:val="none"/>
              </w:rPr>
              <w:t>条款名称</w:t>
            </w:r>
          </w:p>
        </w:tc>
        <w:tc>
          <w:tcPr>
            <w:tcW w:w="3795" w:type="pct"/>
            <w:noWrap w:val="0"/>
            <w:vAlign w:val="center"/>
          </w:tcPr>
          <w:p w14:paraId="4361D593">
            <w:pPr>
              <w:spacing w:line="264" w:lineRule="auto"/>
              <w:jc w:val="center"/>
              <w:rPr>
                <w:rFonts w:hint="eastAsia" w:ascii="宋体" w:hAnsi="宋体" w:cs="宋体"/>
                <w:color w:val="auto"/>
                <w:szCs w:val="21"/>
                <w:highlight w:val="none"/>
              </w:rPr>
            </w:pPr>
            <w:r>
              <w:rPr>
                <w:rFonts w:hint="eastAsia" w:ascii="宋体" w:hAnsi="宋体" w:cs="宋体"/>
                <w:color w:val="auto"/>
                <w:szCs w:val="21"/>
                <w:highlight w:val="none"/>
              </w:rPr>
              <w:t>评审因素与评审标准</w:t>
            </w:r>
          </w:p>
        </w:tc>
      </w:tr>
      <w:tr w14:paraId="1A9C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noWrap w:val="0"/>
            <w:vAlign w:val="center"/>
          </w:tcPr>
          <w:p w14:paraId="79E1A5FB">
            <w:pPr>
              <w:spacing w:line="264"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73" w:type="pct"/>
            <w:noWrap w:val="0"/>
            <w:vAlign w:val="center"/>
          </w:tcPr>
          <w:p w14:paraId="114FE327">
            <w:pPr>
              <w:spacing w:line="264"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评标办法</w:t>
            </w:r>
          </w:p>
        </w:tc>
        <w:tc>
          <w:tcPr>
            <w:tcW w:w="3795" w:type="pct"/>
            <w:noWrap w:val="0"/>
            <w:vAlign w:val="center"/>
          </w:tcPr>
          <w:p w14:paraId="3DFF70AD">
            <w:pPr>
              <w:spacing w:line="264" w:lineRule="auto"/>
              <w:rPr>
                <w:rFonts w:hint="eastAsia" w:ascii="宋体" w:hAnsi="宋体"/>
                <w:color w:val="auto"/>
                <w:highlight w:val="none"/>
              </w:rPr>
            </w:pPr>
            <w:r>
              <w:rPr>
                <w:rFonts w:hint="eastAsia" w:ascii="宋体" w:hAnsi="宋体"/>
                <w:color w:val="auto"/>
                <w:highlight w:val="none"/>
              </w:rPr>
              <w:t>本次评标采用综合评分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14:paraId="03836614">
            <w:pPr>
              <w:spacing w:line="264" w:lineRule="auto"/>
              <w:rPr>
                <w:rFonts w:hint="eastAsia" w:ascii="宋体" w:hAnsi="宋体"/>
                <w:color w:val="auto"/>
                <w:highlight w:val="none"/>
              </w:rPr>
            </w:pPr>
            <w:r>
              <w:rPr>
                <w:rFonts w:hint="eastAsia" w:ascii="宋体" w:hAnsi="宋体"/>
                <w:color w:val="auto"/>
                <w:highlight w:val="none"/>
              </w:rPr>
              <w:t>（1）评标价低的投标人优先；</w:t>
            </w:r>
          </w:p>
          <w:p w14:paraId="3B22A40F">
            <w:pPr>
              <w:spacing w:line="264" w:lineRule="auto"/>
              <w:rPr>
                <w:rFonts w:hint="eastAsia" w:ascii="宋体" w:hAnsi="宋体"/>
                <w:color w:val="auto"/>
                <w:highlight w:val="none"/>
              </w:rPr>
            </w:pPr>
            <w:r>
              <w:rPr>
                <w:rFonts w:hint="eastAsia" w:ascii="宋体" w:hAnsi="宋体"/>
                <w:color w:val="auto"/>
                <w:highlight w:val="none"/>
              </w:rPr>
              <w:t>（2）技术建议书得分较高的投标人优先；</w:t>
            </w:r>
          </w:p>
          <w:p w14:paraId="00816790">
            <w:pPr>
              <w:spacing w:line="264" w:lineRule="auto"/>
              <w:rPr>
                <w:rFonts w:hint="eastAsia" w:ascii="宋体" w:hAnsi="宋体" w:cs="宋体"/>
                <w:color w:val="auto"/>
                <w:szCs w:val="21"/>
                <w:highlight w:val="none"/>
              </w:rPr>
            </w:pPr>
            <w:r>
              <w:rPr>
                <w:rFonts w:hint="eastAsia" w:ascii="宋体" w:hAnsi="宋体"/>
                <w:color w:val="auto"/>
                <w:highlight w:val="none"/>
              </w:rPr>
              <w:t>（3）投标人满足资格审查条件(业绩最低要求)的业绩累计合同金额高的优先。</w:t>
            </w:r>
          </w:p>
        </w:tc>
      </w:tr>
      <w:tr w14:paraId="092A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noWrap w:val="0"/>
            <w:vAlign w:val="center"/>
          </w:tcPr>
          <w:p w14:paraId="7DC31C6A">
            <w:pPr>
              <w:spacing w:line="264" w:lineRule="auto"/>
              <w:jc w:val="center"/>
              <w:rPr>
                <w:rFonts w:hint="eastAsia" w:ascii="宋体" w:hAnsi="宋体" w:cs="宋体"/>
                <w:color w:val="auto"/>
                <w:szCs w:val="21"/>
                <w:highlight w:val="none"/>
              </w:rPr>
            </w:pPr>
            <w:r>
              <w:rPr>
                <w:rFonts w:hint="eastAsia" w:ascii="宋体" w:hAnsi="宋体" w:cs="宋体"/>
                <w:color w:val="auto"/>
                <w:szCs w:val="21"/>
                <w:highlight w:val="none"/>
              </w:rPr>
              <w:t>2.1.1</w:t>
            </w:r>
          </w:p>
          <w:p w14:paraId="7748BE9B">
            <w:pPr>
              <w:spacing w:line="264" w:lineRule="auto"/>
              <w:jc w:val="center"/>
              <w:rPr>
                <w:rFonts w:hint="eastAsia" w:ascii="宋体" w:hAnsi="宋体" w:cs="宋体"/>
                <w:color w:val="auto"/>
                <w:szCs w:val="21"/>
                <w:highlight w:val="none"/>
              </w:rPr>
            </w:pPr>
            <w:r>
              <w:rPr>
                <w:rFonts w:hint="eastAsia" w:ascii="宋体" w:hAnsi="宋体" w:cs="宋体"/>
                <w:color w:val="auto"/>
                <w:szCs w:val="21"/>
                <w:highlight w:val="none"/>
              </w:rPr>
              <w:t>2.1.3</w:t>
            </w:r>
          </w:p>
        </w:tc>
        <w:tc>
          <w:tcPr>
            <w:tcW w:w="773" w:type="pct"/>
            <w:noWrap w:val="0"/>
            <w:vAlign w:val="center"/>
          </w:tcPr>
          <w:p w14:paraId="36E77D1E">
            <w:pPr>
              <w:spacing w:line="264" w:lineRule="auto"/>
              <w:jc w:val="center"/>
              <w:rPr>
                <w:rFonts w:hint="eastAsia" w:ascii="宋体" w:hAnsi="宋体" w:cs="宋体"/>
                <w:color w:val="auto"/>
                <w:szCs w:val="21"/>
                <w:highlight w:val="none"/>
              </w:rPr>
            </w:pPr>
            <w:r>
              <w:rPr>
                <w:rFonts w:hint="eastAsia" w:ascii="宋体" w:hAnsi="宋体" w:cs="宋体"/>
                <w:color w:val="auto"/>
                <w:szCs w:val="21"/>
                <w:highlight w:val="none"/>
              </w:rPr>
              <w:t>形式评审与响应性评审标准</w:t>
            </w:r>
          </w:p>
        </w:tc>
        <w:tc>
          <w:tcPr>
            <w:tcW w:w="3795" w:type="pct"/>
            <w:noWrap w:val="0"/>
            <w:vAlign w:val="center"/>
          </w:tcPr>
          <w:p w14:paraId="23ECE2E6">
            <w:pPr>
              <w:spacing w:line="300" w:lineRule="exact"/>
              <w:rPr>
                <w:rFonts w:hint="eastAsia" w:ascii="宋体" w:hAnsi="宋体" w:cs="宋体"/>
                <w:b/>
                <w:bCs/>
                <w:color w:val="auto"/>
                <w:szCs w:val="21"/>
                <w:highlight w:val="none"/>
              </w:rPr>
            </w:pPr>
            <w:r>
              <w:rPr>
                <w:rFonts w:hint="eastAsia" w:ascii="宋体" w:hAnsi="宋体" w:cs="宋体"/>
                <w:b/>
                <w:bCs/>
                <w:color w:val="auto"/>
                <w:szCs w:val="21"/>
                <w:highlight w:val="none"/>
              </w:rPr>
              <w:t>第一个信封（商务文件）评审标准：</w:t>
            </w:r>
          </w:p>
          <w:p w14:paraId="050CF998">
            <w:pPr>
              <w:spacing w:line="300" w:lineRule="exact"/>
              <w:rPr>
                <w:rFonts w:hint="eastAsia" w:ascii="宋体" w:hAnsi="宋体"/>
                <w:color w:val="auto"/>
                <w:highlight w:val="none"/>
              </w:rPr>
            </w:pPr>
            <w:r>
              <w:rPr>
                <w:rFonts w:hint="eastAsia" w:ascii="宋体" w:hAnsi="宋体"/>
                <w:color w:val="auto"/>
                <w:highlight w:val="none"/>
              </w:rPr>
              <w:t>（1）投标文件按照招标文件规定的格式、内容填写，字迹清晰可辨。</w:t>
            </w:r>
          </w:p>
          <w:p w14:paraId="0CF7CD24">
            <w:pPr>
              <w:spacing w:line="300" w:lineRule="exact"/>
              <w:rPr>
                <w:rFonts w:hint="eastAsia" w:ascii="宋体" w:hAnsi="宋体"/>
                <w:color w:val="auto"/>
                <w:highlight w:val="none"/>
              </w:rPr>
            </w:pPr>
            <w:r>
              <w:rPr>
                <w:rFonts w:hint="eastAsia" w:ascii="宋体" w:hAnsi="宋体"/>
                <w:color w:val="auto"/>
                <w:highlight w:val="none"/>
              </w:rPr>
              <w:t>a.投标函按招标文件规定填报了项目名称、补遗书编号（如有）、质量要求、安全目标、服务期限、项目负责人相关信息；</w:t>
            </w:r>
          </w:p>
          <w:p w14:paraId="5F6AAE42">
            <w:pPr>
              <w:pStyle w:val="3"/>
              <w:spacing w:line="300" w:lineRule="exact"/>
              <w:rPr>
                <w:rFonts w:hint="eastAsia"/>
                <w:color w:val="auto"/>
                <w:highlight w:val="none"/>
              </w:rPr>
            </w:pPr>
            <w:r>
              <w:rPr>
                <w:rFonts w:hint="eastAsia"/>
                <w:color w:val="auto"/>
                <w:highlight w:val="none"/>
              </w:rPr>
              <w:t>b.</w:t>
            </w:r>
            <w:r>
              <w:rPr>
                <w:rFonts w:hint="eastAsia" w:ascii="宋体" w:hAnsi="宋体"/>
                <w:color w:val="auto"/>
                <w:highlight w:val="none"/>
              </w:rPr>
              <w:t>投标文件组成齐全完整，内容均按规定填写。</w:t>
            </w:r>
          </w:p>
          <w:p w14:paraId="253D04AE">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投标文件上法定代表人或其授权代理人的签字、投标人的单位章盖章齐全，符合招标文件规定。</w:t>
            </w:r>
          </w:p>
          <w:p w14:paraId="18AB81E5">
            <w:pPr>
              <w:spacing w:line="300" w:lineRule="exact"/>
              <w:rPr>
                <w:rFonts w:ascii="宋体" w:hAnsi="宋体"/>
                <w:color w:val="auto"/>
                <w:szCs w:val="21"/>
                <w:highlight w:val="none"/>
              </w:rPr>
            </w:pPr>
            <w:r>
              <w:rPr>
                <w:rFonts w:hint="eastAsia" w:ascii="宋体" w:hAnsi="宋体"/>
                <w:color w:val="auto"/>
                <w:szCs w:val="21"/>
                <w:highlight w:val="none"/>
              </w:rPr>
              <w:t>（3）投标人按照招标文件的规定提供了投标保证金，且投标保证金符合投标人须知第3</w:t>
            </w:r>
            <w:r>
              <w:rPr>
                <w:rFonts w:ascii="宋体" w:hAnsi="宋体"/>
                <w:color w:val="auto"/>
                <w:szCs w:val="21"/>
                <w:highlight w:val="none"/>
              </w:rPr>
              <w:t>.4.1</w:t>
            </w:r>
            <w:r>
              <w:rPr>
                <w:rFonts w:hint="eastAsia" w:ascii="宋体" w:hAnsi="宋体"/>
                <w:color w:val="auto"/>
                <w:szCs w:val="21"/>
                <w:highlight w:val="none"/>
              </w:rPr>
              <w:t>项规定。</w:t>
            </w:r>
          </w:p>
          <w:p w14:paraId="2A568A98">
            <w:pPr>
              <w:spacing w:line="3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）投标人法定代表人授权委托代理人签署投标文件的，须提交授权委托书，符合招标文件规定。</w:t>
            </w:r>
          </w:p>
          <w:p w14:paraId="76DB883F">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）投标人法定代表人若亲自签署投标文件的，提供了法定代表人身份证明，符合招标文件规定。</w:t>
            </w:r>
          </w:p>
          <w:p w14:paraId="65544892">
            <w:pPr>
              <w:spacing w:line="300" w:lineRule="exact"/>
              <w:rPr>
                <w:rFonts w:hint="eastAsia" w:ascii="宋体" w:hAnsi="宋体" w:cs="宋体"/>
                <w:color w:val="auto"/>
                <w:kern w:val="0"/>
                <w:szCs w:val="21"/>
                <w:highlight w:val="none"/>
              </w:rPr>
            </w:pPr>
            <w:r>
              <w:rPr>
                <w:rFonts w:hint="eastAsia" w:ascii="宋体" w:hAnsi="宋体" w:cs="宋体"/>
                <w:color w:val="auto"/>
                <w:szCs w:val="21"/>
                <w:highlight w:val="none"/>
              </w:rPr>
              <w:t>（6）</w:t>
            </w:r>
            <w:r>
              <w:rPr>
                <w:rFonts w:hint="eastAsia" w:ascii="宋体" w:hAnsi="宋体" w:cs="宋体"/>
                <w:color w:val="auto"/>
                <w:kern w:val="0"/>
                <w:szCs w:val="21"/>
                <w:highlight w:val="none"/>
              </w:rPr>
              <w:t>同一投标人未提交两个以上不同的投标文件。</w:t>
            </w:r>
          </w:p>
          <w:p w14:paraId="437BD7A1">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（7）投标文件中未出现有关投标报价的内容。</w:t>
            </w:r>
          </w:p>
          <w:p w14:paraId="65874741">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kern w:val="0"/>
                <w:szCs w:val="21"/>
                <w:highlight w:val="none"/>
              </w:rPr>
              <w:t>投标文件载明的招标项目服务期限符合招标文件规定</w:t>
            </w:r>
            <w:r>
              <w:rPr>
                <w:rFonts w:hint="eastAsia" w:ascii="宋体" w:hAnsi="宋体" w:cs="宋体"/>
                <w:color w:val="auto"/>
                <w:szCs w:val="21"/>
                <w:highlight w:val="none"/>
              </w:rPr>
              <w:t>。</w:t>
            </w:r>
          </w:p>
          <w:p w14:paraId="33F57C9A">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（9）投</w:t>
            </w:r>
            <w:r>
              <w:rPr>
                <w:rFonts w:hint="eastAsia" w:ascii="宋体" w:hAnsi="宋体" w:cs="宋体"/>
                <w:color w:val="auto"/>
                <w:kern w:val="0"/>
                <w:szCs w:val="21"/>
                <w:highlight w:val="none"/>
              </w:rPr>
              <w:t>标文件对招标文件的实质性要求和条件作出响应</w:t>
            </w:r>
            <w:r>
              <w:rPr>
                <w:rFonts w:hint="eastAsia" w:ascii="宋体" w:hAnsi="宋体" w:cs="宋体"/>
                <w:color w:val="auto"/>
                <w:szCs w:val="21"/>
                <w:highlight w:val="none"/>
              </w:rPr>
              <w:t>。</w:t>
            </w:r>
          </w:p>
          <w:p w14:paraId="02AD7963">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0）权利义务符合招标文件规定：</w:t>
            </w:r>
            <w:r>
              <w:rPr>
                <w:rFonts w:ascii="宋体" w:hAnsi="宋体" w:cs="宋体"/>
                <w:color w:val="auto"/>
                <w:szCs w:val="21"/>
                <w:highlight w:val="none"/>
              </w:rPr>
              <w:t xml:space="preserve"> </w:t>
            </w:r>
          </w:p>
          <w:p w14:paraId="18647CC9">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a．投标人应接受招标文件规定的风险划分原则，未提出新的风险划分办法；</w:t>
            </w:r>
          </w:p>
          <w:p w14:paraId="791AB28B">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b．投标人未增加委托人的责任范围，或减少投标人义务；</w:t>
            </w:r>
          </w:p>
          <w:p w14:paraId="004DCF36">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c．投标人未提出不同的支付办法；</w:t>
            </w:r>
          </w:p>
          <w:p w14:paraId="3BE3CCDB">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d．投标人对合同纠纷、事故处理办法未提出异议；</w:t>
            </w:r>
          </w:p>
          <w:p w14:paraId="76B201F9">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e．投标人在投标活动中无欺诈行为；</w:t>
            </w:r>
          </w:p>
          <w:p w14:paraId="43FA468C">
            <w:pPr>
              <w:spacing w:line="300" w:lineRule="exact"/>
              <w:jc w:val="left"/>
              <w:rPr>
                <w:rFonts w:hint="eastAsia" w:ascii="宋体" w:hAnsi="宋体"/>
                <w:color w:val="auto"/>
                <w:highlight w:val="none"/>
              </w:rPr>
            </w:pPr>
            <w:r>
              <w:rPr>
                <w:rFonts w:hint="eastAsia" w:ascii="宋体" w:hAnsi="宋体" w:cs="宋体"/>
                <w:color w:val="auto"/>
                <w:szCs w:val="21"/>
                <w:highlight w:val="none"/>
              </w:rPr>
              <w:t>f．投标人未对合同条款有重要保留。</w:t>
            </w:r>
          </w:p>
          <w:p w14:paraId="41BF69E0">
            <w:pPr>
              <w:spacing w:line="300" w:lineRule="exact"/>
              <w:rPr>
                <w:rFonts w:hint="eastAsia" w:ascii="宋体" w:hAnsi="宋体" w:cs="宋体"/>
                <w:b/>
                <w:bCs/>
                <w:color w:val="auto"/>
                <w:szCs w:val="21"/>
                <w:highlight w:val="none"/>
              </w:rPr>
            </w:pPr>
            <w:r>
              <w:rPr>
                <w:rFonts w:hint="eastAsia" w:ascii="宋体" w:hAnsi="宋体" w:cs="宋体"/>
                <w:b/>
                <w:bCs/>
                <w:color w:val="auto"/>
                <w:szCs w:val="21"/>
                <w:highlight w:val="none"/>
              </w:rPr>
              <w:t>第一个信封（技术文件）评审标准：</w:t>
            </w:r>
          </w:p>
          <w:p w14:paraId="7D6BEA3C">
            <w:pPr>
              <w:pStyle w:val="3"/>
              <w:adjustRightInd w:val="0"/>
              <w:snapToGrid w:val="0"/>
              <w:ind w:firstLine="420" w:firstLineChars="200"/>
              <w:rPr>
                <w:rFonts w:hint="eastAsia"/>
                <w:color w:val="auto"/>
                <w:highlight w:val="none"/>
              </w:rPr>
            </w:pPr>
            <w:r>
              <w:rPr>
                <w:rFonts w:hint="eastAsia" w:cs="宋体"/>
                <w:color w:val="auto"/>
                <w:highlight w:val="none"/>
              </w:rPr>
              <w:t>（1）投标人技术文件</w:t>
            </w:r>
            <w:r>
              <w:rPr>
                <w:rFonts w:hint="eastAsia" w:ascii="????" w:hAnsi="????"/>
                <w:color w:val="auto"/>
                <w:highlight w:val="none"/>
              </w:rPr>
              <w:t>（暗标）符合招标文件第二章“投标人须知”第</w:t>
            </w:r>
            <w:r>
              <w:rPr>
                <w:rFonts w:hint="eastAsia" w:cs="宋体"/>
                <w:color w:val="auto"/>
                <w:highlight w:val="none"/>
              </w:rPr>
              <w:t>10.2</w:t>
            </w:r>
            <w:r>
              <w:rPr>
                <w:rFonts w:hint="eastAsia" w:ascii="????" w:hAnsi="????"/>
                <w:color w:val="auto"/>
                <w:highlight w:val="none"/>
              </w:rPr>
              <w:t>款的规定。</w:t>
            </w:r>
          </w:p>
          <w:p w14:paraId="135E6437">
            <w:pPr>
              <w:spacing w:line="300" w:lineRule="exact"/>
              <w:rPr>
                <w:rFonts w:hint="eastAsia" w:ascii="宋体" w:hAnsi="宋体" w:cs="宋体"/>
                <w:b/>
                <w:bCs/>
                <w:color w:val="auto"/>
                <w:szCs w:val="21"/>
                <w:highlight w:val="none"/>
              </w:rPr>
            </w:pPr>
            <w:r>
              <w:rPr>
                <w:rFonts w:hint="eastAsia" w:ascii="宋体" w:hAnsi="宋体" w:cs="宋体"/>
                <w:b/>
                <w:bCs/>
                <w:color w:val="auto"/>
                <w:szCs w:val="21"/>
                <w:highlight w:val="none"/>
              </w:rPr>
              <w:t>第二个信封（报价文件）评审标准：</w:t>
            </w:r>
          </w:p>
          <w:p w14:paraId="644EF202">
            <w:pPr>
              <w:spacing w:line="30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（1）投标文件按照招标文件规定的格式、内容填写，字迹清晰可辨。</w:t>
            </w:r>
          </w:p>
          <w:p w14:paraId="6356B2B3">
            <w:pPr>
              <w:spacing w:line="30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a．投标函按招标文件规定填报了项目名称、补遗书编号（如有）、投标总报价等；</w:t>
            </w:r>
          </w:p>
          <w:p w14:paraId="49156D52">
            <w:pPr>
              <w:spacing w:line="300" w:lineRule="exact"/>
              <w:textAlignment w:val="baseline"/>
              <w:rPr>
                <w:rFonts w:ascii="宋体" w:hAnsi="宋体" w:cs="宋体"/>
                <w:color w:val="auto"/>
                <w:szCs w:val="21"/>
                <w:highlight w:val="none"/>
              </w:rPr>
            </w:pPr>
            <w:r>
              <w:rPr>
                <w:rFonts w:hint="eastAsia" w:ascii="宋体" w:hAnsi="宋体" w:cs="宋体"/>
                <w:color w:val="auto"/>
                <w:szCs w:val="21"/>
                <w:highlight w:val="none"/>
              </w:rPr>
              <w:t>b.报价清单说明文字与招标文件一致，未进行实质性修改和删减。</w:t>
            </w:r>
          </w:p>
          <w:p w14:paraId="6DBFD677">
            <w:pPr>
              <w:spacing w:line="300" w:lineRule="exact"/>
              <w:textAlignment w:val="baseline"/>
              <w:rPr>
                <w:rFonts w:hint="eastAsia" w:ascii="宋体" w:hAnsi="宋体" w:cs="宋体"/>
                <w:color w:val="auto"/>
                <w:szCs w:val="21"/>
                <w:highlight w:val="none"/>
              </w:rPr>
            </w:pPr>
            <w:r>
              <w:rPr>
                <w:rFonts w:hint="eastAsia" w:ascii="宋体" w:hAnsi="宋体" w:cs="宋体"/>
                <w:color w:val="auto"/>
                <w:szCs w:val="21"/>
                <w:highlight w:val="none"/>
              </w:rPr>
              <w:t>c．投标文件组成齐全完整，内容均按规定填写。</w:t>
            </w:r>
          </w:p>
          <w:p w14:paraId="72DAA1DC">
            <w:pPr>
              <w:spacing w:line="300" w:lineRule="exact"/>
              <w:rPr>
                <w:rFonts w:ascii="宋体" w:hAnsi="宋体" w:cs="宋体"/>
                <w:color w:val="auto"/>
                <w:szCs w:val="21"/>
                <w:highlight w:val="none"/>
                <w:lang w:bidi="ar"/>
              </w:rPr>
            </w:pPr>
            <w:r>
              <w:rPr>
                <w:rFonts w:hint="eastAsia" w:ascii="宋体" w:hAnsi="宋体" w:cs="宋体"/>
                <w:color w:val="auto"/>
                <w:szCs w:val="21"/>
                <w:highlight w:val="none"/>
              </w:rPr>
              <w:t>（</w:t>
            </w:r>
            <w:r>
              <w:rPr>
                <w:rFonts w:hint="eastAsia" w:ascii="宋体" w:hAnsi="宋体" w:cs="宋体"/>
                <w:color w:val="auto"/>
                <w:szCs w:val="21"/>
                <w:highlight w:val="none"/>
                <w:lang w:bidi="ar"/>
              </w:rPr>
              <w:t>2）投标文件上法定代表人或其授权代理人的签字、投标人的单位章盖章齐全，符合招标文件规定。</w:t>
            </w:r>
          </w:p>
          <w:p w14:paraId="5B986F8F">
            <w:pPr>
              <w:spacing w:line="300" w:lineRule="exact"/>
              <w:rPr>
                <w:rFonts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rPr>
              <w:t>投标总报价</w:t>
            </w:r>
            <w:r>
              <w:rPr>
                <w:rFonts w:hint="eastAsia" w:ascii="宋体" w:hAnsi="宋体" w:cs="宋体"/>
                <w:color w:val="auto"/>
                <w:szCs w:val="21"/>
                <w:highlight w:val="none"/>
                <w:lang w:bidi="ar"/>
              </w:rPr>
              <w:t>未超过招标文件设定的最高投标限价。</w:t>
            </w:r>
          </w:p>
          <w:p w14:paraId="315A0CE8">
            <w:pPr>
              <w:spacing w:line="300" w:lineRule="exact"/>
              <w:rPr>
                <w:rFonts w:ascii="宋体" w:hAnsi="宋体" w:cs="宋体"/>
                <w:color w:val="auto"/>
                <w:szCs w:val="21"/>
                <w:highlight w:val="none"/>
                <w:lang w:bidi="ar"/>
              </w:rPr>
            </w:pPr>
            <w:r>
              <w:rPr>
                <w:rFonts w:hint="eastAsia" w:ascii="宋体" w:hAnsi="宋体" w:cs="宋体"/>
                <w:color w:val="auto"/>
                <w:szCs w:val="21"/>
                <w:highlight w:val="none"/>
                <w:lang w:bidi="ar"/>
              </w:rPr>
              <w:t>（4）</w:t>
            </w:r>
            <w:r>
              <w:rPr>
                <w:rFonts w:hint="eastAsia" w:ascii="宋体" w:hAnsi="宋体" w:cs="宋体"/>
                <w:color w:val="auto"/>
                <w:szCs w:val="21"/>
                <w:highlight w:val="none"/>
              </w:rPr>
              <w:t>投标总报价</w:t>
            </w:r>
            <w:r>
              <w:rPr>
                <w:rFonts w:hint="eastAsia" w:ascii="宋体" w:hAnsi="宋体" w:cs="宋体"/>
                <w:color w:val="auto"/>
                <w:szCs w:val="21"/>
                <w:highlight w:val="none"/>
                <w:lang w:bidi="ar"/>
              </w:rPr>
              <w:t>的大写金额能够确定具体数值。</w:t>
            </w:r>
          </w:p>
          <w:p w14:paraId="00BF388E">
            <w:pPr>
              <w:spacing w:line="300" w:lineRule="exact"/>
              <w:rPr>
                <w:rFonts w:ascii="宋体" w:hAnsi="宋体" w:cs="宋体"/>
                <w:color w:val="auto"/>
                <w:szCs w:val="21"/>
                <w:highlight w:val="none"/>
                <w:lang w:bidi="ar"/>
              </w:rPr>
            </w:pPr>
            <w:r>
              <w:rPr>
                <w:rFonts w:hint="eastAsia" w:ascii="宋体" w:hAnsi="宋体" w:cs="宋体"/>
                <w:color w:val="auto"/>
                <w:szCs w:val="21"/>
                <w:highlight w:val="none"/>
                <w:lang w:bidi="ar"/>
              </w:rPr>
              <w:t>（5）同一投标人未提交两个以上不同的</w:t>
            </w:r>
            <w:r>
              <w:rPr>
                <w:rFonts w:hint="eastAsia" w:ascii="宋体" w:hAnsi="宋体" w:cs="宋体"/>
                <w:color w:val="auto"/>
                <w:szCs w:val="21"/>
                <w:highlight w:val="none"/>
              </w:rPr>
              <w:t>投标总报价</w:t>
            </w:r>
            <w:r>
              <w:rPr>
                <w:rFonts w:hint="eastAsia" w:ascii="宋体" w:hAnsi="宋体" w:cs="宋体"/>
                <w:color w:val="auto"/>
                <w:szCs w:val="21"/>
                <w:highlight w:val="none"/>
                <w:lang w:bidi="ar"/>
              </w:rPr>
              <w:t>。</w:t>
            </w:r>
          </w:p>
          <w:p w14:paraId="4179E4E6">
            <w:pPr>
              <w:spacing w:line="300" w:lineRule="exact"/>
              <w:rPr>
                <w:rFonts w:hint="eastAsia" w:ascii="宋体" w:hAnsi="宋体" w:cs="宋体"/>
                <w:color w:val="auto"/>
                <w:szCs w:val="21"/>
                <w:highlight w:val="none"/>
                <w:lang w:bidi="ar"/>
              </w:rPr>
            </w:pPr>
            <w:r>
              <w:rPr>
                <w:rFonts w:hint="eastAsia" w:ascii="宋体" w:hAnsi="宋体" w:cs="宋体"/>
                <w:color w:val="auto"/>
                <w:szCs w:val="21"/>
                <w:highlight w:val="none"/>
                <w:lang w:bidi="ar"/>
              </w:rPr>
              <w:t>（6）投标人未提交调价函。</w:t>
            </w:r>
          </w:p>
        </w:tc>
      </w:tr>
      <w:tr w14:paraId="2381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trPr>
        <w:tc>
          <w:tcPr>
            <w:tcW w:w="432" w:type="pct"/>
            <w:noWrap w:val="0"/>
            <w:vAlign w:val="center"/>
          </w:tcPr>
          <w:p w14:paraId="469D6106">
            <w:pPr>
              <w:spacing w:line="264" w:lineRule="auto"/>
              <w:jc w:val="center"/>
              <w:rPr>
                <w:rFonts w:hint="eastAsia" w:ascii="宋体" w:hAnsi="宋体" w:cs="宋体"/>
                <w:color w:val="auto"/>
                <w:szCs w:val="21"/>
                <w:highlight w:val="none"/>
              </w:rPr>
            </w:pPr>
            <w:r>
              <w:rPr>
                <w:rFonts w:hint="eastAsia" w:ascii="宋体" w:hAnsi="宋体" w:cs="宋体"/>
                <w:color w:val="auto"/>
                <w:szCs w:val="21"/>
                <w:highlight w:val="none"/>
              </w:rPr>
              <w:t>2.1.2</w:t>
            </w:r>
          </w:p>
        </w:tc>
        <w:tc>
          <w:tcPr>
            <w:tcW w:w="773" w:type="pct"/>
            <w:noWrap w:val="0"/>
            <w:vAlign w:val="center"/>
          </w:tcPr>
          <w:p w14:paraId="692E1B81">
            <w:pPr>
              <w:spacing w:line="264" w:lineRule="auto"/>
              <w:jc w:val="center"/>
              <w:rPr>
                <w:rFonts w:hint="eastAsia" w:ascii="宋体" w:hAnsi="宋体" w:cs="宋体"/>
                <w:color w:val="auto"/>
                <w:szCs w:val="21"/>
                <w:highlight w:val="none"/>
              </w:rPr>
            </w:pPr>
            <w:r>
              <w:rPr>
                <w:rFonts w:hint="eastAsia" w:ascii="宋体" w:hAnsi="宋体" w:cs="宋体"/>
                <w:color w:val="auto"/>
                <w:szCs w:val="21"/>
                <w:highlight w:val="none"/>
              </w:rPr>
              <w:t>资格评审标准</w:t>
            </w:r>
          </w:p>
        </w:tc>
        <w:tc>
          <w:tcPr>
            <w:tcW w:w="3795" w:type="pct"/>
            <w:noWrap w:val="0"/>
            <w:vAlign w:val="center"/>
          </w:tcPr>
          <w:p w14:paraId="01B15C04">
            <w:pPr>
              <w:spacing w:line="264"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仿宋"/>
                <w:color w:val="auto"/>
                <w:szCs w:val="21"/>
                <w:highlight w:val="none"/>
              </w:rPr>
              <w:t>投标人具备有效的营业执照、检测资质证书和基本账户开户许可证(或基本存款账户信息)</w:t>
            </w:r>
            <w:r>
              <w:rPr>
                <w:rFonts w:hint="eastAsia" w:ascii="宋体" w:hAnsi="宋体" w:cs="宋体"/>
                <w:color w:val="auto"/>
                <w:szCs w:val="21"/>
                <w:highlight w:val="none"/>
              </w:rPr>
              <w:t>。</w:t>
            </w:r>
          </w:p>
          <w:p w14:paraId="3BB99552">
            <w:pPr>
              <w:spacing w:line="264" w:lineRule="auto"/>
              <w:rPr>
                <w:rFonts w:hint="eastAsia" w:ascii="宋体" w:hAnsi="宋体" w:cs="宋体"/>
                <w:color w:val="auto"/>
                <w:szCs w:val="21"/>
                <w:highlight w:val="none"/>
              </w:rPr>
            </w:pPr>
            <w:r>
              <w:rPr>
                <w:rFonts w:hint="eastAsia" w:ascii="宋体" w:hAnsi="宋体" w:cs="宋体"/>
                <w:color w:val="auto"/>
                <w:szCs w:val="21"/>
                <w:highlight w:val="none"/>
              </w:rPr>
              <w:t>（2）投标人的资质等级符合招标文件规定。</w:t>
            </w:r>
          </w:p>
          <w:p w14:paraId="79048345">
            <w:pPr>
              <w:spacing w:line="264" w:lineRule="auto"/>
              <w:rPr>
                <w:rFonts w:hint="eastAsia" w:ascii="宋体" w:hAnsi="宋体" w:cs="宋体"/>
                <w:color w:val="auto"/>
                <w:szCs w:val="21"/>
                <w:highlight w:val="none"/>
              </w:rPr>
            </w:pPr>
            <w:r>
              <w:rPr>
                <w:rFonts w:hint="eastAsia" w:ascii="宋体" w:hAnsi="宋体" w:cs="宋体"/>
                <w:color w:val="auto"/>
                <w:szCs w:val="21"/>
                <w:highlight w:val="none"/>
              </w:rPr>
              <w:t>（3）投标人的类似项目业绩符合招标文件的规定。</w:t>
            </w:r>
          </w:p>
          <w:p w14:paraId="45410572">
            <w:pPr>
              <w:spacing w:line="264" w:lineRule="auto"/>
              <w:rPr>
                <w:rFonts w:hint="eastAsia" w:ascii="宋体" w:hAnsi="宋体" w:cs="宋体"/>
                <w:color w:val="auto"/>
                <w:szCs w:val="21"/>
                <w:highlight w:val="none"/>
              </w:rPr>
            </w:pPr>
            <w:r>
              <w:rPr>
                <w:rFonts w:hint="eastAsia" w:ascii="宋体" w:hAnsi="宋体" w:cs="宋体"/>
                <w:color w:val="auto"/>
                <w:szCs w:val="21"/>
                <w:highlight w:val="none"/>
              </w:rPr>
              <w:t>（4）投标人的信誉符合招标文件规定。</w:t>
            </w:r>
          </w:p>
          <w:p w14:paraId="2F1F190C">
            <w:pPr>
              <w:spacing w:line="264" w:lineRule="auto"/>
              <w:rPr>
                <w:rFonts w:hint="eastAsia" w:ascii="宋体" w:hAnsi="宋体" w:cs="宋体"/>
                <w:color w:val="auto"/>
                <w:szCs w:val="21"/>
                <w:highlight w:val="none"/>
              </w:rPr>
            </w:pPr>
            <w:r>
              <w:rPr>
                <w:rFonts w:hint="eastAsia" w:ascii="宋体" w:hAnsi="宋体" w:cs="宋体"/>
                <w:color w:val="auto"/>
                <w:szCs w:val="21"/>
                <w:highlight w:val="none"/>
              </w:rPr>
              <w:t>（5）投标人的项目负责人资格符合招标文件规定。</w:t>
            </w:r>
          </w:p>
          <w:p w14:paraId="08582BFD">
            <w:pPr>
              <w:spacing w:line="264" w:lineRule="auto"/>
              <w:rPr>
                <w:rFonts w:ascii="宋体" w:hAnsi="宋体" w:cs="宋体"/>
                <w:color w:val="auto"/>
                <w:szCs w:val="21"/>
                <w:highlight w:val="none"/>
              </w:rPr>
            </w:pPr>
            <w:r>
              <w:rPr>
                <w:rFonts w:hint="eastAsia" w:ascii="宋体" w:hAnsi="宋体" w:cs="宋体"/>
                <w:color w:val="auto"/>
                <w:szCs w:val="21"/>
                <w:highlight w:val="none"/>
              </w:rPr>
              <w:t>（6）投标人不存在第二章“投标人须知”第1.4.3项或1.4.4项规定的任何一种情形；</w:t>
            </w:r>
          </w:p>
          <w:p w14:paraId="09F7F657">
            <w:pPr>
              <w:pStyle w:val="3"/>
              <w:rPr>
                <w:rFonts w:hint="eastAsia"/>
                <w:color w:val="auto"/>
                <w:highlight w:val="none"/>
              </w:rPr>
            </w:pPr>
            <w:r>
              <w:rPr>
                <w:rFonts w:hint="eastAsia"/>
                <w:color w:val="auto"/>
                <w:highlight w:val="none"/>
              </w:rPr>
              <w:t>（7）</w:t>
            </w:r>
            <w:r>
              <w:rPr>
                <w:color w:val="auto"/>
                <w:highlight w:val="none"/>
              </w:rPr>
              <w:t>投标人符合第二章“投标人须知”第1.4.5项规定</w:t>
            </w:r>
            <w:r>
              <w:rPr>
                <w:rFonts w:hint="eastAsia"/>
                <w:color w:val="auto"/>
                <w:highlight w:val="none"/>
              </w:rPr>
              <w:t>。</w:t>
            </w:r>
          </w:p>
        </w:tc>
      </w:tr>
      <w:tr w14:paraId="421C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432" w:type="pct"/>
            <w:noWrap w:val="0"/>
            <w:vAlign w:val="center"/>
          </w:tcPr>
          <w:p w14:paraId="3DD933DD">
            <w:pPr>
              <w:spacing w:line="264" w:lineRule="auto"/>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773" w:type="pct"/>
            <w:noWrap w:val="0"/>
            <w:vAlign w:val="center"/>
          </w:tcPr>
          <w:p w14:paraId="03DB06D4">
            <w:pPr>
              <w:spacing w:line="264" w:lineRule="auto"/>
              <w:jc w:val="center"/>
              <w:rPr>
                <w:rFonts w:hint="eastAsia" w:ascii="宋体" w:hAnsi="宋体" w:cs="宋体"/>
                <w:color w:val="auto"/>
                <w:szCs w:val="21"/>
                <w:highlight w:val="none"/>
              </w:rPr>
            </w:pPr>
            <w:r>
              <w:rPr>
                <w:rFonts w:hint="eastAsia" w:ascii="宋体" w:hAnsi="宋体" w:cs="宋体"/>
                <w:color w:val="auto"/>
                <w:szCs w:val="21"/>
                <w:highlight w:val="none"/>
              </w:rPr>
              <w:t>分值构成（总分100分）</w:t>
            </w:r>
          </w:p>
        </w:tc>
        <w:tc>
          <w:tcPr>
            <w:tcW w:w="3795" w:type="pct"/>
            <w:noWrap w:val="0"/>
            <w:vAlign w:val="center"/>
          </w:tcPr>
          <w:p w14:paraId="44A8F7FF">
            <w:pPr>
              <w:spacing w:line="264" w:lineRule="auto"/>
              <w:rPr>
                <w:rFonts w:hint="eastAsia" w:ascii="宋体" w:hAnsi="宋体" w:cs="宋体"/>
                <w:b/>
                <w:bCs/>
                <w:color w:val="auto"/>
                <w:szCs w:val="21"/>
                <w:highlight w:val="none"/>
              </w:rPr>
            </w:pPr>
            <w:r>
              <w:rPr>
                <w:rFonts w:hint="eastAsia" w:ascii="宋体" w:hAnsi="宋体" w:cs="宋体"/>
                <w:b/>
                <w:bCs/>
                <w:color w:val="auto"/>
                <w:szCs w:val="21"/>
                <w:highlight w:val="none"/>
              </w:rPr>
              <w:t>第一个信封（商务及技术文件）评分分值构成；</w:t>
            </w:r>
          </w:p>
          <w:p w14:paraId="6E22174C">
            <w:pPr>
              <w:spacing w:line="264" w:lineRule="auto"/>
              <w:rPr>
                <w:rFonts w:hint="eastAsia" w:ascii="宋体" w:hAnsi="宋体" w:cs="宋体"/>
                <w:color w:val="auto"/>
                <w:szCs w:val="21"/>
                <w:highlight w:val="none"/>
              </w:rPr>
            </w:pPr>
            <w:r>
              <w:rPr>
                <w:rFonts w:hint="eastAsia" w:ascii="宋体" w:hAnsi="宋体" w:cs="宋体"/>
                <w:color w:val="auto"/>
                <w:szCs w:val="21"/>
                <w:highlight w:val="none"/>
              </w:rPr>
              <w:t>技术建议书：50分</w:t>
            </w:r>
          </w:p>
          <w:p w14:paraId="0CF0805B">
            <w:pPr>
              <w:spacing w:line="264" w:lineRule="auto"/>
              <w:rPr>
                <w:rFonts w:hint="eastAsia" w:ascii="宋体" w:hAnsi="宋体" w:cs="宋体"/>
                <w:color w:val="auto"/>
                <w:szCs w:val="21"/>
                <w:highlight w:val="none"/>
              </w:rPr>
            </w:pPr>
            <w:r>
              <w:rPr>
                <w:rFonts w:hint="eastAsia" w:ascii="宋体" w:hAnsi="宋体" w:cs="宋体"/>
                <w:color w:val="auto"/>
                <w:szCs w:val="21"/>
                <w:highlight w:val="none"/>
              </w:rPr>
              <w:t>主要人员：</w:t>
            </w:r>
            <w:r>
              <w:rPr>
                <w:rFonts w:ascii="宋体" w:hAnsi="宋体" w:cs="宋体"/>
                <w:color w:val="auto"/>
                <w:szCs w:val="21"/>
                <w:highlight w:val="none"/>
              </w:rPr>
              <w:t>2</w:t>
            </w:r>
            <w:r>
              <w:rPr>
                <w:rFonts w:hint="eastAsia" w:ascii="宋体" w:hAnsi="宋体" w:cs="宋体"/>
                <w:color w:val="auto"/>
                <w:szCs w:val="21"/>
                <w:highlight w:val="none"/>
              </w:rPr>
              <w:t>0分</w:t>
            </w:r>
          </w:p>
          <w:p w14:paraId="67463514">
            <w:pPr>
              <w:spacing w:line="264" w:lineRule="auto"/>
              <w:rPr>
                <w:rFonts w:ascii="宋体" w:hAnsi="宋体" w:cs="宋体"/>
                <w:color w:val="auto"/>
                <w:szCs w:val="21"/>
                <w:highlight w:val="none"/>
              </w:rPr>
            </w:pPr>
            <w:r>
              <w:rPr>
                <w:rFonts w:hint="eastAsia" w:ascii="宋体" w:hAnsi="宋体" w:cs="宋体"/>
                <w:color w:val="auto"/>
                <w:szCs w:val="21"/>
                <w:highlight w:val="none"/>
              </w:rPr>
              <w:t>其他因素：20分</w:t>
            </w:r>
          </w:p>
          <w:p w14:paraId="7D8565E0">
            <w:pPr>
              <w:spacing w:line="264" w:lineRule="auto"/>
              <w:rPr>
                <w:rFonts w:hint="eastAsia" w:ascii="宋体" w:hAnsi="宋体" w:cs="宋体"/>
                <w:b/>
                <w:bCs/>
                <w:color w:val="auto"/>
                <w:szCs w:val="21"/>
                <w:highlight w:val="none"/>
              </w:rPr>
            </w:pPr>
            <w:r>
              <w:rPr>
                <w:rFonts w:hint="eastAsia" w:ascii="宋体" w:hAnsi="宋体" w:cs="宋体"/>
                <w:b/>
                <w:bCs/>
                <w:color w:val="auto"/>
                <w:szCs w:val="21"/>
                <w:highlight w:val="none"/>
              </w:rPr>
              <w:t>第二个信封（报价文件）评分分值构成：</w:t>
            </w:r>
          </w:p>
          <w:p w14:paraId="333ECF5B">
            <w:pPr>
              <w:spacing w:line="264" w:lineRule="auto"/>
              <w:rPr>
                <w:rFonts w:hint="eastAsia" w:ascii="宋体" w:hAnsi="宋体" w:cs="宋体"/>
                <w:color w:val="auto"/>
                <w:szCs w:val="21"/>
                <w:highlight w:val="none"/>
              </w:rPr>
            </w:pPr>
            <w:r>
              <w:rPr>
                <w:rFonts w:hint="eastAsia" w:ascii="宋体" w:hAnsi="宋体" w:cs="宋体"/>
                <w:color w:val="auto"/>
                <w:szCs w:val="21"/>
                <w:highlight w:val="none"/>
              </w:rPr>
              <w:t>评标价：10分</w:t>
            </w:r>
          </w:p>
        </w:tc>
      </w:tr>
      <w:tr w14:paraId="6C93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noWrap w:val="0"/>
            <w:vAlign w:val="center"/>
          </w:tcPr>
          <w:p w14:paraId="1415738D">
            <w:pPr>
              <w:spacing w:line="264" w:lineRule="auto"/>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773" w:type="pct"/>
            <w:noWrap w:val="0"/>
            <w:vAlign w:val="center"/>
          </w:tcPr>
          <w:p w14:paraId="467A9D17">
            <w:pPr>
              <w:spacing w:line="264"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评标基准价计算方法</w:t>
            </w:r>
          </w:p>
        </w:tc>
        <w:tc>
          <w:tcPr>
            <w:tcW w:w="3795" w:type="pct"/>
            <w:noWrap w:val="0"/>
            <w:vAlign w:val="center"/>
          </w:tcPr>
          <w:p w14:paraId="7BBB9F62">
            <w:pPr>
              <w:textAlignment w:val="baseline"/>
              <w:rPr>
                <w:rFonts w:ascii="宋体" w:hAnsi="宋体"/>
                <w:color w:val="auto"/>
                <w:highlight w:val="none"/>
              </w:rPr>
            </w:pPr>
            <w:r>
              <w:rPr>
                <w:rFonts w:hint="eastAsia" w:ascii="宋体" w:hAnsi="宋体"/>
                <w:color w:val="auto"/>
                <w:highlight w:val="none"/>
              </w:rPr>
              <w:t xml:space="preserve">评标基准价的计算： </w:t>
            </w:r>
          </w:p>
          <w:p w14:paraId="539B7AB0">
            <w:pPr>
              <w:textAlignment w:val="baseline"/>
              <w:rPr>
                <w:rFonts w:ascii="宋体" w:hAnsi="宋体"/>
                <w:color w:val="auto"/>
                <w:highlight w:val="none"/>
              </w:rPr>
            </w:pPr>
            <w:r>
              <w:rPr>
                <w:rFonts w:hint="eastAsia" w:ascii="宋体" w:hAnsi="宋体"/>
                <w:color w:val="auto"/>
                <w:highlight w:val="none"/>
              </w:rPr>
              <w:t>所有通过第一个信封评审的投标文件，开启其第二个信封。在第二信封开标现场，招标人将当场计算并宣布评标基准价。</w:t>
            </w:r>
          </w:p>
          <w:p w14:paraId="35E75E6A">
            <w:pPr>
              <w:textAlignment w:val="baseline"/>
              <w:rPr>
                <w:rFonts w:ascii="宋体" w:hAnsi="宋体"/>
                <w:color w:val="auto"/>
                <w:highlight w:val="none"/>
              </w:rPr>
            </w:pPr>
            <w:r>
              <w:rPr>
                <w:rFonts w:hint="eastAsia" w:ascii="宋体" w:hAnsi="宋体"/>
                <w:color w:val="auto"/>
                <w:highlight w:val="none"/>
              </w:rPr>
              <w:t>(1)评标价的确定：</w:t>
            </w:r>
          </w:p>
          <w:p w14:paraId="78285002">
            <w:pPr>
              <w:textAlignment w:val="baseline"/>
              <w:rPr>
                <w:rFonts w:ascii="宋体" w:hAnsi="宋体"/>
                <w:color w:val="auto"/>
                <w:highlight w:val="none"/>
              </w:rPr>
            </w:pPr>
            <w:r>
              <w:rPr>
                <w:rFonts w:hint="eastAsia" w:ascii="宋体" w:hAnsi="宋体"/>
                <w:color w:val="auto"/>
                <w:highlight w:val="none"/>
              </w:rPr>
              <w:t>评标价=投标函文字报价</w:t>
            </w:r>
          </w:p>
          <w:p w14:paraId="7E109B05">
            <w:pPr>
              <w:textAlignment w:val="baseline"/>
              <w:rPr>
                <w:rFonts w:ascii="宋体" w:hAnsi="宋体"/>
                <w:color w:val="auto"/>
                <w:highlight w:val="none"/>
              </w:rPr>
            </w:pPr>
            <w:r>
              <w:rPr>
                <w:rFonts w:hint="eastAsia" w:ascii="宋体" w:hAnsi="宋体"/>
                <w:color w:val="auto"/>
                <w:highlight w:val="none"/>
              </w:rPr>
              <w:t>(2)评标价平均值的计算：</w:t>
            </w:r>
          </w:p>
          <w:p w14:paraId="72D45D11">
            <w:pPr>
              <w:textAlignment w:val="baseline"/>
              <w:rPr>
                <w:rFonts w:ascii="宋体" w:hAnsi="宋体"/>
                <w:color w:val="auto"/>
                <w:highlight w:val="none"/>
              </w:rPr>
            </w:pPr>
            <w:r>
              <w:rPr>
                <w:rFonts w:hint="eastAsia" w:ascii="宋体" w:hAnsi="宋体"/>
                <w:color w:val="auto"/>
                <w:highlight w:val="none"/>
              </w:rPr>
              <w:t>除按第二章“投标人须知”第5.2.4项规定开标现场被宣布为不进入评标基准价计算的</w:t>
            </w:r>
            <w:r>
              <w:rPr>
                <w:rFonts w:hint="eastAsia" w:ascii="宋体" w:hAnsi="宋体" w:cs="宋体"/>
                <w:color w:val="auto"/>
                <w:szCs w:val="21"/>
                <w:highlight w:val="none"/>
              </w:rPr>
              <w:t>投标总报价</w:t>
            </w:r>
            <w:r>
              <w:rPr>
                <w:rFonts w:hint="eastAsia" w:ascii="宋体" w:hAnsi="宋体"/>
                <w:color w:val="auto"/>
                <w:highlight w:val="none"/>
              </w:rPr>
              <w:t>之外，所有投标人的评标价去掉n1个最高评标价和n2个最低评标价后的算术平均值即为评标价平均值。</w:t>
            </w:r>
          </w:p>
          <w:p w14:paraId="135E6233">
            <w:pPr>
              <w:textAlignment w:val="baseline"/>
              <w:rPr>
                <w:rFonts w:ascii="宋体" w:hAnsi="宋体"/>
                <w:color w:val="auto"/>
                <w:highlight w:val="none"/>
              </w:rPr>
            </w:pPr>
            <w:r>
              <w:rPr>
                <w:rFonts w:hint="eastAsia" w:ascii="宋体" w:hAnsi="宋体"/>
                <w:color w:val="auto"/>
                <w:highlight w:val="none"/>
              </w:rPr>
              <w:t>注：如果参与评标价平均值计算的投标人数量＜6家时，n1=</w:t>
            </w:r>
            <w:r>
              <w:rPr>
                <w:rFonts w:ascii="宋体" w:hAnsi="宋体"/>
                <w:color w:val="auto"/>
                <w:highlight w:val="none"/>
              </w:rPr>
              <w:t>0</w:t>
            </w:r>
            <w:r>
              <w:rPr>
                <w:rFonts w:hint="eastAsia" w:ascii="宋体" w:hAnsi="宋体"/>
                <w:color w:val="auto"/>
                <w:highlight w:val="none"/>
              </w:rPr>
              <w:t>，n2=</w:t>
            </w:r>
            <w:r>
              <w:rPr>
                <w:rFonts w:ascii="宋体" w:hAnsi="宋体"/>
                <w:color w:val="auto"/>
                <w:highlight w:val="none"/>
              </w:rPr>
              <w:t>0</w:t>
            </w:r>
            <w:r>
              <w:rPr>
                <w:rFonts w:hint="eastAsia" w:ascii="宋体" w:hAnsi="宋体"/>
                <w:color w:val="auto"/>
                <w:highlight w:val="none"/>
              </w:rPr>
              <w:t>；</w:t>
            </w:r>
          </w:p>
          <w:p w14:paraId="4F0C9BCA">
            <w:pPr>
              <w:textAlignment w:val="baseline"/>
              <w:rPr>
                <w:rFonts w:ascii="宋体" w:hAnsi="宋体"/>
                <w:color w:val="auto"/>
                <w:highlight w:val="none"/>
              </w:rPr>
            </w:pPr>
            <w:r>
              <w:rPr>
                <w:rFonts w:hint="eastAsia" w:ascii="宋体" w:hAnsi="宋体"/>
                <w:color w:val="auto"/>
                <w:highlight w:val="none"/>
              </w:rPr>
              <w:t>6家≤参与评标价平均值计算的投标人数量＜10家时，n1=</w:t>
            </w:r>
            <w:r>
              <w:rPr>
                <w:rFonts w:ascii="宋体" w:hAnsi="宋体"/>
                <w:color w:val="auto"/>
                <w:highlight w:val="none"/>
              </w:rPr>
              <w:t>1</w:t>
            </w:r>
            <w:r>
              <w:rPr>
                <w:rFonts w:hint="eastAsia" w:ascii="宋体" w:hAnsi="宋体"/>
                <w:color w:val="auto"/>
                <w:highlight w:val="none"/>
              </w:rPr>
              <w:t>，n2=</w:t>
            </w:r>
            <w:r>
              <w:rPr>
                <w:rFonts w:ascii="宋体" w:hAnsi="宋体"/>
                <w:color w:val="auto"/>
                <w:highlight w:val="none"/>
              </w:rPr>
              <w:t>1</w:t>
            </w:r>
            <w:r>
              <w:rPr>
                <w:rFonts w:hint="eastAsia" w:ascii="宋体" w:hAnsi="宋体"/>
                <w:color w:val="auto"/>
                <w:highlight w:val="none"/>
              </w:rPr>
              <w:t>；</w:t>
            </w:r>
          </w:p>
          <w:p w14:paraId="24920EFC">
            <w:pPr>
              <w:textAlignment w:val="baseline"/>
              <w:rPr>
                <w:rFonts w:ascii="宋体" w:hAnsi="宋体"/>
                <w:color w:val="auto"/>
                <w:highlight w:val="none"/>
              </w:rPr>
            </w:pPr>
            <w:r>
              <w:rPr>
                <w:rFonts w:hint="eastAsia" w:ascii="宋体" w:hAnsi="宋体"/>
                <w:color w:val="auto"/>
                <w:highlight w:val="none"/>
              </w:rPr>
              <w:t>10家≤参与评标价平均值计算的投标人数量＜20家时，n1=</w:t>
            </w:r>
            <w:r>
              <w:rPr>
                <w:rFonts w:ascii="宋体" w:hAnsi="宋体"/>
                <w:color w:val="auto"/>
                <w:highlight w:val="none"/>
              </w:rPr>
              <w:t>2</w:t>
            </w:r>
            <w:r>
              <w:rPr>
                <w:rFonts w:hint="eastAsia" w:ascii="宋体" w:hAnsi="宋体"/>
                <w:color w:val="auto"/>
                <w:highlight w:val="none"/>
              </w:rPr>
              <w:t>，n2=</w:t>
            </w:r>
            <w:r>
              <w:rPr>
                <w:rFonts w:ascii="宋体" w:hAnsi="宋体"/>
                <w:color w:val="auto"/>
                <w:highlight w:val="none"/>
              </w:rPr>
              <w:t>2</w:t>
            </w:r>
            <w:r>
              <w:rPr>
                <w:rFonts w:hint="eastAsia" w:ascii="宋体" w:hAnsi="宋体"/>
                <w:color w:val="auto"/>
                <w:highlight w:val="none"/>
              </w:rPr>
              <w:t>；</w:t>
            </w:r>
          </w:p>
          <w:p w14:paraId="2271E54A">
            <w:pPr>
              <w:textAlignment w:val="baseline"/>
              <w:rPr>
                <w:rFonts w:ascii="宋体" w:hAnsi="宋体"/>
                <w:color w:val="auto"/>
                <w:highlight w:val="none"/>
              </w:rPr>
            </w:pPr>
            <w:r>
              <w:rPr>
                <w:rFonts w:hint="eastAsia" w:ascii="宋体" w:hAnsi="宋体"/>
                <w:color w:val="auto"/>
                <w:highlight w:val="none"/>
              </w:rPr>
              <w:t>参与评标价平均值计算的投标人数量≥</w:t>
            </w:r>
            <w:r>
              <w:rPr>
                <w:rFonts w:ascii="宋体" w:hAnsi="宋体"/>
                <w:color w:val="auto"/>
                <w:highlight w:val="none"/>
              </w:rPr>
              <w:t>20</w:t>
            </w:r>
            <w:r>
              <w:rPr>
                <w:rFonts w:hint="eastAsia" w:ascii="宋体" w:hAnsi="宋体"/>
                <w:color w:val="auto"/>
                <w:highlight w:val="none"/>
              </w:rPr>
              <w:t>家时，n1=</w:t>
            </w:r>
            <w:r>
              <w:rPr>
                <w:rFonts w:ascii="宋体" w:hAnsi="宋体"/>
                <w:color w:val="auto"/>
                <w:highlight w:val="none"/>
              </w:rPr>
              <w:t>3</w:t>
            </w:r>
            <w:r>
              <w:rPr>
                <w:rFonts w:hint="eastAsia" w:ascii="宋体" w:hAnsi="宋体"/>
                <w:color w:val="auto"/>
                <w:highlight w:val="none"/>
              </w:rPr>
              <w:t>，n2=</w:t>
            </w:r>
            <w:r>
              <w:rPr>
                <w:rFonts w:ascii="宋体" w:hAnsi="宋体"/>
                <w:color w:val="auto"/>
                <w:highlight w:val="none"/>
              </w:rPr>
              <w:t>3</w:t>
            </w:r>
            <w:r>
              <w:rPr>
                <w:rFonts w:hint="eastAsia" w:ascii="宋体" w:hAnsi="宋体"/>
                <w:color w:val="auto"/>
                <w:highlight w:val="none"/>
              </w:rPr>
              <w:t>；</w:t>
            </w:r>
          </w:p>
          <w:p w14:paraId="58025134">
            <w:pPr>
              <w:textAlignment w:val="baseline"/>
              <w:rPr>
                <w:rFonts w:ascii="宋体" w:hAnsi="宋体"/>
                <w:color w:val="auto"/>
                <w:highlight w:val="none"/>
              </w:rPr>
            </w:pPr>
            <w:r>
              <w:rPr>
                <w:rFonts w:hint="eastAsia" w:ascii="宋体" w:hAnsi="宋体"/>
                <w:color w:val="auto"/>
                <w:highlight w:val="none"/>
              </w:rPr>
              <w:t xml:space="preserve">(3)评标基准价的确定：将评标价平均值直接作为评标基准价。 </w:t>
            </w:r>
          </w:p>
          <w:p w14:paraId="2871443F">
            <w:pPr>
              <w:ind w:right="113" w:firstLine="420" w:firstLineChars="200"/>
              <w:rPr>
                <w:rFonts w:ascii="宋体" w:hAnsi="宋体"/>
                <w:color w:val="auto"/>
                <w:highlight w:val="none"/>
              </w:rPr>
            </w:pPr>
            <w:r>
              <w:rPr>
                <w:rFonts w:hint="eastAsia" w:ascii="宋体" w:hAnsi="宋体"/>
                <w:color w:val="auto"/>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14:paraId="3CF51B41">
            <w:pPr>
              <w:ind w:right="113" w:firstLine="420" w:firstLineChars="200"/>
              <w:rPr>
                <w:rFonts w:hint="eastAsia" w:ascii="宋体" w:hAnsi="宋体" w:cs="宋体"/>
                <w:color w:val="auto"/>
                <w:szCs w:val="21"/>
                <w:highlight w:val="none"/>
              </w:rPr>
            </w:pPr>
            <w:r>
              <w:rPr>
                <w:rFonts w:hint="eastAsia" w:ascii="宋体" w:hAnsi="宋体"/>
                <w:color w:val="auto"/>
                <w:highlight w:val="none"/>
              </w:rPr>
              <w:t>评标基准价保留两位小数，小数点后第三位“四舍五入”。</w:t>
            </w:r>
          </w:p>
        </w:tc>
      </w:tr>
      <w:tr w14:paraId="10CF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noWrap w:val="0"/>
            <w:vAlign w:val="center"/>
          </w:tcPr>
          <w:p w14:paraId="2E0771F4">
            <w:pPr>
              <w:spacing w:line="264" w:lineRule="auto"/>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773" w:type="pct"/>
            <w:noWrap w:val="0"/>
            <w:vAlign w:val="center"/>
          </w:tcPr>
          <w:p w14:paraId="036BD99E">
            <w:pPr>
              <w:spacing w:line="264" w:lineRule="auto"/>
              <w:ind w:leftChars="-53" w:right="-62" w:hanging="111" w:hangingChars="53"/>
              <w:rPr>
                <w:rFonts w:hint="eastAsia" w:ascii="宋体" w:hAnsi="宋体" w:cs="宋体"/>
                <w:color w:val="auto"/>
                <w:szCs w:val="21"/>
                <w:highlight w:val="none"/>
              </w:rPr>
            </w:pPr>
            <w:r>
              <w:rPr>
                <w:rFonts w:hint="eastAsia" w:ascii="宋体" w:hAnsi="宋体" w:cs="宋体"/>
                <w:color w:val="auto"/>
                <w:szCs w:val="21"/>
                <w:highlight w:val="none"/>
              </w:rPr>
              <w:t>评标价的偏差率计算公式</w:t>
            </w:r>
          </w:p>
        </w:tc>
        <w:tc>
          <w:tcPr>
            <w:tcW w:w="3795" w:type="pct"/>
            <w:noWrap w:val="0"/>
            <w:vAlign w:val="center"/>
          </w:tcPr>
          <w:p w14:paraId="4CB195FA">
            <w:pPr>
              <w:spacing w:line="264" w:lineRule="auto"/>
              <w:ind w:left="113" w:right="113" w:firstLine="210" w:firstLineChars="100"/>
              <w:rPr>
                <w:rFonts w:hint="eastAsia" w:ascii="宋体" w:hAnsi="宋体" w:cs="宋体"/>
                <w:color w:val="auto"/>
                <w:sz w:val="34"/>
                <w:szCs w:val="21"/>
                <w:highlight w:val="none"/>
              </w:rPr>
            </w:pPr>
            <w:r>
              <w:rPr>
                <w:rFonts w:hint="eastAsia" w:ascii="宋体" w:hAnsi="宋体" w:cs="宋体"/>
                <w:color w:val="auto"/>
                <w:szCs w:val="21"/>
                <w:highlight w:val="none"/>
              </w:rPr>
              <w:t>偏差率=100%×（投标人评标价-评标基准价）/评标基准价</w:t>
            </w:r>
          </w:p>
        </w:tc>
      </w:tr>
      <w:tr w14:paraId="3193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432" w:type="pct"/>
            <w:noWrap w:val="0"/>
            <w:vAlign w:val="center"/>
          </w:tcPr>
          <w:p w14:paraId="38B1B7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3.6.1</w:t>
            </w:r>
          </w:p>
        </w:tc>
        <w:tc>
          <w:tcPr>
            <w:tcW w:w="773" w:type="pct"/>
            <w:noWrap w:val="0"/>
            <w:vAlign w:val="center"/>
          </w:tcPr>
          <w:p w14:paraId="5E059F83">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投标文件相关信息的核查</w:t>
            </w:r>
          </w:p>
        </w:tc>
        <w:tc>
          <w:tcPr>
            <w:tcW w:w="3795" w:type="pct"/>
            <w:noWrap w:val="0"/>
            <w:vAlign w:val="center"/>
          </w:tcPr>
          <w:p w14:paraId="4DC48C94">
            <w:pPr>
              <w:adjustRightInd w:val="0"/>
              <w:snapToGrid w:val="0"/>
              <w:spacing w:line="300" w:lineRule="exact"/>
              <w:rPr>
                <w:rFonts w:hint="eastAsia" w:ascii="宋体" w:hAnsi="宋体"/>
                <w:color w:val="auto"/>
                <w:highlight w:val="none"/>
              </w:rPr>
            </w:pPr>
            <w:r>
              <w:rPr>
                <w:rFonts w:hint="eastAsia" w:ascii="宋体" w:hAnsi="宋体"/>
                <w:color w:val="auto"/>
                <w:highlight w:val="none"/>
              </w:rPr>
              <w:t>本款修改为：</w:t>
            </w:r>
          </w:p>
          <w:p w14:paraId="21CB2414">
            <w:pPr>
              <w:adjustRightInd w:val="0"/>
              <w:snapToGrid w:val="0"/>
              <w:spacing w:line="300" w:lineRule="exact"/>
              <w:rPr>
                <w:rFonts w:ascii="宋体" w:hAnsi="宋体"/>
                <w:color w:val="auto"/>
                <w:highlight w:val="none"/>
              </w:rPr>
            </w:pPr>
            <w:r>
              <w:rPr>
                <w:rFonts w:hint="eastAsia" w:ascii="宋体" w:hAnsi="宋体"/>
                <w:color w:val="auto"/>
                <w:highlight w:val="none"/>
              </w:rPr>
              <w:t>（1）在评标过程中，评标委员会应在“公路水运工程质量检测管理信息系统（https://www.ttiis.cn）” 中查询试验检测机构名称、资质等级。</w:t>
            </w:r>
          </w:p>
          <w:p w14:paraId="2CEE0B2C">
            <w:pPr>
              <w:adjustRightInd w:val="0"/>
              <w:snapToGrid w:val="0"/>
              <w:spacing w:line="300" w:lineRule="exact"/>
              <w:ind w:firstLine="210" w:firstLineChars="100"/>
              <w:rPr>
                <w:rFonts w:ascii="宋体" w:hAnsi="宋体"/>
                <w:color w:val="auto"/>
                <w:highlight w:val="none"/>
              </w:rPr>
            </w:pPr>
            <w:r>
              <w:rPr>
                <w:rFonts w:hint="eastAsia" w:ascii="宋体" w:hAnsi="宋体"/>
                <w:color w:val="auto"/>
                <w:highlight w:val="none"/>
              </w:rPr>
              <w:t>在评标过程中，评标委员会应在“国家企业信用信息公示系统（http://www.gsxt.gov.cn/）”对投标人的信用情况进行查询，若投标人存在被列入“严重违法失信名单（黑名单）信息（不含分公司）”情形的，评标委员会应否决其投标。</w:t>
            </w:r>
          </w:p>
          <w:p w14:paraId="0D934FF8">
            <w:pPr>
              <w:adjustRightInd w:val="0"/>
              <w:snapToGrid w:val="0"/>
              <w:spacing w:line="300" w:lineRule="exact"/>
              <w:ind w:firstLine="420" w:firstLineChars="200"/>
              <w:rPr>
                <w:rFonts w:ascii="宋体" w:hAnsi="宋体"/>
                <w:color w:val="auto"/>
                <w:highlight w:val="none"/>
              </w:rPr>
            </w:pPr>
            <w:r>
              <w:rPr>
                <w:rFonts w:hint="eastAsia" w:ascii="宋体" w:hAnsi="宋体"/>
                <w:color w:val="auto"/>
                <w:highlight w:val="none"/>
              </w:rPr>
              <w:t>在“信用中国网站（http://www.creditchina.gov.cn/）”对投标人的信用情况进行查询，若投标人存在被列入“失信被执行人名单、异常经营名录、重大税收违法失信主体、政府采购严重违法失信行为记录名单（均不含分公司）”情形的，评标委员会应否决其投标。</w:t>
            </w:r>
          </w:p>
          <w:p w14:paraId="0C696F7F">
            <w:pPr>
              <w:adjustRightInd w:val="0"/>
              <w:snapToGrid w:val="0"/>
              <w:spacing w:line="300" w:lineRule="exact"/>
              <w:ind w:firstLine="420" w:firstLineChars="200"/>
              <w:rPr>
                <w:rFonts w:hint="eastAsia" w:ascii="宋体" w:hAnsi="宋体"/>
                <w:color w:val="auto"/>
                <w:highlight w:val="none"/>
              </w:rPr>
            </w:pPr>
            <w:r>
              <w:rPr>
                <w:rFonts w:hint="eastAsia" w:ascii="宋体" w:hAnsi="宋体"/>
                <w:color w:val="auto"/>
                <w:highlight w:val="none"/>
              </w:rPr>
              <w:t>若投标文件载明的信息与上述网站发布的信息不符，使得投标人不符合招标文件规定的，评标委员会应否决其投标。</w:t>
            </w:r>
          </w:p>
          <w:p w14:paraId="24FDA386">
            <w:pPr>
              <w:ind w:firstLine="420" w:firstLineChars="200"/>
              <w:rPr>
                <w:rFonts w:ascii="宋体" w:hAnsi="宋体"/>
                <w:color w:val="auto"/>
                <w:highlight w:val="none"/>
              </w:rPr>
            </w:pPr>
            <w:r>
              <w:rPr>
                <w:rFonts w:hint="eastAsia" w:ascii="宋体" w:hAnsi="宋体"/>
                <w:color w:val="auto"/>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p w14:paraId="4E98BBF8">
            <w:pPr>
              <w:ind w:firstLine="420" w:firstLineChars="200"/>
              <w:rPr>
                <w:rFonts w:ascii="宋体" w:hAnsi="宋体"/>
                <w:color w:val="auto"/>
                <w:szCs w:val="21"/>
                <w:highlight w:val="none"/>
              </w:rPr>
            </w:pPr>
            <w:r>
              <w:rPr>
                <w:rFonts w:hint="eastAsia" w:ascii="宋体" w:hAnsi="宋体"/>
                <w:color w:val="auto"/>
                <w:highlight w:val="none"/>
              </w:rPr>
              <w:t>（2）评标委员会在评标时按照投标人提供的验证方式对电子保函或电子保证保险进行验证。如投标人未提供电子保函或电子保证保险的验证方式，或根据提供的验证方式无法核实的，评标委员会应否决其投标</w:t>
            </w:r>
            <w:r>
              <w:rPr>
                <w:rFonts w:hint="eastAsia" w:ascii="宋体" w:hAnsi="宋体"/>
                <w:color w:val="auto"/>
                <w:szCs w:val="21"/>
                <w:highlight w:val="none"/>
              </w:rPr>
              <w:t>。</w:t>
            </w:r>
          </w:p>
        </w:tc>
      </w:tr>
      <w:tr w14:paraId="1078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3"/>
            <w:noWrap w:val="0"/>
            <w:vAlign w:val="center"/>
          </w:tcPr>
          <w:p w14:paraId="12A6B1FD">
            <w:pPr>
              <w:spacing w:line="264" w:lineRule="auto"/>
              <w:rPr>
                <w:rFonts w:hint="eastAsia" w:ascii="宋体" w:hAnsi="宋体" w:cs="宋体"/>
                <w:color w:val="auto"/>
                <w:szCs w:val="21"/>
                <w:highlight w:val="none"/>
              </w:rPr>
            </w:pPr>
            <w:r>
              <w:rPr>
                <w:rFonts w:hint="eastAsia" w:ascii="宋体" w:hAnsi="宋体" w:cs="宋体"/>
                <w:color w:val="auto"/>
                <w:szCs w:val="21"/>
                <w:highlight w:val="none"/>
              </w:rPr>
              <w:t>需要补充的其他内容：无</w:t>
            </w:r>
          </w:p>
        </w:tc>
      </w:tr>
    </w:tbl>
    <w:p w14:paraId="1D2F73EA">
      <w:pPr>
        <w:widowControl/>
        <w:jc w:val="left"/>
        <w:rPr>
          <w:rFonts w:hint="eastAsia" w:ascii="宋体" w:hAnsi="宋体" w:cs="宋体"/>
          <w:color w:val="auto"/>
          <w:sz w:val="24"/>
          <w:szCs w:val="20"/>
          <w:highlight w:val="none"/>
        </w:rPr>
      </w:pPr>
    </w:p>
    <w:p w14:paraId="6C88D856">
      <w:pPr>
        <w:pStyle w:val="4"/>
        <w:spacing w:line="360" w:lineRule="auto"/>
        <w:rPr>
          <w:rFonts w:hint="eastAsia" w:hAnsi="宋体" w:cs="宋体"/>
          <w:b/>
          <w:color w:val="auto"/>
          <w:highlight w:val="none"/>
        </w:rPr>
      </w:pPr>
      <w:r>
        <w:rPr>
          <w:rFonts w:hAnsi="宋体" w:cs="宋体"/>
          <w:color w:val="auto"/>
          <w:sz w:val="24"/>
          <w:highlight w:val="none"/>
        </w:rPr>
        <w:br w:type="page"/>
      </w:r>
      <w:r>
        <w:rPr>
          <w:rFonts w:hint="eastAsia" w:hAnsi="宋体" w:cs="宋体"/>
          <w:color w:val="auto"/>
          <w:sz w:val="24"/>
          <w:highlight w:val="none"/>
        </w:rPr>
        <w:t>具体评分标准如下：</w:t>
      </w:r>
    </w:p>
    <w:tbl>
      <w:tblPr>
        <w:tblStyle w:val="5"/>
        <w:tblW w:w="514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638"/>
        <w:gridCol w:w="730"/>
        <w:gridCol w:w="721"/>
        <w:gridCol w:w="1360"/>
        <w:gridCol w:w="632"/>
        <w:gridCol w:w="4482"/>
      </w:tblGrid>
      <w:tr w14:paraId="18E7D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noWrap w:val="0"/>
            <w:vAlign w:val="center"/>
          </w:tcPr>
          <w:p w14:paraId="048A8357">
            <w:pPr>
              <w:autoSpaceDE w:val="0"/>
              <w:autoSpaceDN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条款号</w:t>
            </w:r>
          </w:p>
        </w:tc>
        <w:tc>
          <w:tcPr>
            <w:tcW w:w="426" w:type="pct"/>
            <w:noWrap w:val="0"/>
            <w:vAlign w:val="center"/>
          </w:tcPr>
          <w:p w14:paraId="7A1D6F0E">
            <w:pPr>
              <w:autoSpaceDE w:val="0"/>
              <w:autoSpaceDN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评审因素</w:t>
            </w:r>
          </w:p>
        </w:tc>
        <w:tc>
          <w:tcPr>
            <w:tcW w:w="421" w:type="pct"/>
            <w:noWrap w:val="0"/>
            <w:vAlign w:val="center"/>
          </w:tcPr>
          <w:p w14:paraId="3260149E">
            <w:pPr>
              <w:autoSpaceDE w:val="0"/>
              <w:autoSpaceDN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评分因素权重分值</w:t>
            </w:r>
          </w:p>
        </w:tc>
        <w:tc>
          <w:tcPr>
            <w:tcW w:w="794" w:type="pct"/>
            <w:tcBorders>
              <w:right w:val="single" w:color="auto" w:sz="4" w:space="0"/>
            </w:tcBorders>
            <w:noWrap w:val="0"/>
            <w:vAlign w:val="center"/>
          </w:tcPr>
          <w:p w14:paraId="509F557B">
            <w:pPr>
              <w:autoSpaceDE w:val="0"/>
              <w:autoSpaceDN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各评分因素</w:t>
            </w:r>
          </w:p>
          <w:p w14:paraId="2506A160">
            <w:pPr>
              <w:autoSpaceDE w:val="0"/>
              <w:autoSpaceDN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细分项</w:t>
            </w:r>
          </w:p>
        </w:tc>
        <w:tc>
          <w:tcPr>
            <w:tcW w:w="369" w:type="pct"/>
            <w:tcBorders>
              <w:left w:val="single" w:color="auto" w:sz="4" w:space="0"/>
              <w:right w:val="single" w:color="auto" w:sz="4" w:space="0"/>
            </w:tcBorders>
            <w:noWrap w:val="0"/>
            <w:vAlign w:val="center"/>
          </w:tcPr>
          <w:p w14:paraId="5402BA6C">
            <w:pPr>
              <w:autoSpaceDE w:val="0"/>
              <w:autoSpaceDN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分值</w:t>
            </w:r>
          </w:p>
        </w:tc>
        <w:tc>
          <w:tcPr>
            <w:tcW w:w="2617" w:type="pct"/>
            <w:tcBorders>
              <w:left w:val="single" w:color="auto" w:sz="4" w:space="0"/>
            </w:tcBorders>
            <w:noWrap w:val="0"/>
            <w:vAlign w:val="center"/>
          </w:tcPr>
          <w:p w14:paraId="4A62E24A">
            <w:pPr>
              <w:autoSpaceDE w:val="0"/>
              <w:autoSpaceDN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评分标准</w:t>
            </w:r>
          </w:p>
        </w:tc>
      </w:tr>
      <w:tr w14:paraId="09713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restart"/>
            <w:noWrap w:val="0"/>
            <w:vAlign w:val="center"/>
          </w:tcPr>
          <w:p w14:paraId="4A50A6C0">
            <w:pPr>
              <w:autoSpaceDE w:val="0"/>
              <w:autoSpaceDN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2.2.4（1）</w:t>
            </w:r>
          </w:p>
        </w:tc>
        <w:tc>
          <w:tcPr>
            <w:tcW w:w="426" w:type="pct"/>
            <w:vMerge w:val="restart"/>
            <w:noWrap w:val="0"/>
            <w:vAlign w:val="center"/>
          </w:tcPr>
          <w:p w14:paraId="05C0D975">
            <w:pPr>
              <w:autoSpaceDE w:val="0"/>
              <w:autoSpaceDN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技术建议书</w:t>
            </w:r>
          </w:p>
        </w:tc>
        <w:tc>
          <w:tcPr>
            <w:tcW w:w="421" w:type="pct"/>
            <w:vMerge w:val="restart"/>
            <w:noWrap w:val="0"/>
            <w:vAlign w:val="center"/>
          </w:tcPr>
          <w:p w14:paraId="2B01910F">
            <w:pPr>
              <w:autoSpaceDE w:val="0"/>
              <w:autoSpaceDN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50分</w:t>
            </w:r>
          </w:p>
        </w:tc>
        <w:tc>
          <w:tcPr>
            <w:tcW w:w="1494" w:type="dxa"/>
            <w:vMerge w:val="restart"/>
            <w:tcBorders>
              <w:right w:val="single" w:color="auto" w:sz="4" w:space="0"/>
            </w:tcBorders>
            <w:noWrap w:val="0"/>
            <w:vAlign w:val="center"/>
          </w:tcPr>
          <w:p w14:paraId="6625E404">
            <w:pPr>
              <w:pStyle w:val="4"/>
              <w:spacing w:line="160" w:lineRule="atLeast"/>
              <w:jc w:val="center"/>
              <w:rPr>
                <w:rFonts w:hAnsi="宋体"/>
                <w:color w:val="auto"/>
                <w:highlight w:val="none"/>
              </w:rPr>
            </w:pPr>
            <w:r>
              <w:rPr>
                <w:rFonts w:hint="eastAsia" w:hAnsi="宋体"/>
                <w:color w:val="auto"/>
                <w:highlight w:val="none"/>
              </w:rPr>
              <w:t>对招标项目的理解和认识</w:t>
            </w:r>
          </w:p>
        </w:tc>
        <w:tc>
          <w:tcPr>
            <w:tcW w:w="694" w:type="dxa"/>
            <w:vMerge w:val="restart"/>
            <w:tcBorders>
              <w:left w:val="single" w:color="auto" w:sz="4" w:space="0"/>
              <w:right w:val="single" w:color="auto" w:sz="4" w:space="0"/>
            </w:tcBorders>
            <w:noWrap w:val="0"/>
            <w:vAlign w:val="center"/>
          </w:tcPr>
          <w:p w14:paraId="14F0FD15">
            <w:pPr>
              <w:pStyle w:val="4"/>
              <w:spacing w:line="160" w:lineRule="atLeast"/>
              <w:ind w:left="33" w:leftChars="-48" w:right="-31" w:rightChars="-15" w:hanging="134" w:hangingChars="64"/>
              <w:jc w:val="center"/>
              <w:rPr>
                <w:rFonts w:hAnsi="宋体"/>
                <w:color w:val="auto"/>
                <w:highlight w:val="none"/>
              </w:rPr>
            </w:pPr>
            <w:r>
              <w:rPr>
                <w:rFonts w:hint="eastAsia" w:hAnsi="宋体"/>
                <w:color w:val="auto"/>
                <w:highlight w:val="none"/>
              </w:rPr>
              <w:t>5分</w:t>
            </w:r>
          </w:p>
        </w:tc>
        <w:tc>
          <w:tcPr>
            <w:tcW w:w="4925" w:type="dxa"/>
            <w:tcBorders>
              <w:left w:val="single" w:color="auto" w:sz="4" w:space="0"/>
              <w:bottom w:val="single" w:color="auto" w:sz="4" w:space="0"/>
            </w:tcBorders>
            <w:noWrap w:val="0"/>
            <w:vAlign w:val="center"/>
          </w:tcPr>
          <w:p w14:paraId="7B18CBD7">
            <w:pPr>
              <w:pStyle w:val="4"/>
              <w:jc w:val="left"/>
              <w:rPr>
                <w:rFonts w:hAnsi="宋体"/>
                <w:color w:val="auto"/>
                <w:sz w:val="20"/>
                <w:highlight w:val="none"/>
              </w:rPr>
            </w:pPr>
            <w:r>
              <w:rPr>
                <w:rFonts w:hint="eastAsia" w:hAnsi="宋体"/>
                <w:color w:val="auto"/>
                <w:sz w:val="20"/>
                <w:highlight w:val="none"/>
              </w:rPr>
              <w:t>理解和认识基本准确，得3分；</w:t>
            </w:r>
          </w:p>
        </w:tc>
      </w:tr>
      <w:tr w14:paraId="3E267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continue"/>
            <w:noWrap w:val="0"/>
            <w:vAlign w:val="center"/>
          </w:tcPr>
          <w:p w14:paraId="3699E910">
            <w:pPr>
              <w:autoSpaceDE w:val="0"/>
              <w:autoSpaceDN w:val="0"/>
              <w:rPr>
                <w:rFonts w:hint="eastAsia" w:ascii="宋体" w:hAnsi="宋体" w:cs="宋体"/>
                <w:color w:val="auto"/>
                <w:kern w:val="0"/>
                <w:szCs w:val="21"/>
                <w:highlight w:val="none"/>
              </w:rPr>
            </w:pPr>
          </w:p>
        </w:tc>
        <w:tc>
          <w:tcPr>
            <w:tcW w:w="426" w:type="pct"/>
            <w:vMerge w:val="continue"/>
            <w:noWrap w:val="0"/>
            <w:vAlign w:val="center"/>
          </w:tcPr>
          <w:p w14:paraId="30DA6990">
            <w:pPr>
              <w:autoSpaceDE w:val="0"/>
              <w:autoSpaceDN w:val="0"/>
              <w:rPr>
                <w:rFonts w:hint="eastAsia" w:ascii="宋体" w:hAnsi="宋体" w:cs="宋体"/>
                <w:color w:val="auto"/>
                <w:kern w:val="0"/>
                <w:szCs w:val="21"/>
                <w:highlight w:val="none"/>
              </w:rPr>
            </w:pPr>
          </w:p>
        </w:tc>
        <w:tc>
          <w:tcPr>
            <w:tcW w:w="421" w:type="pct"/>
            <w:vMerge w:val="continue"/>
            <w:noWrap w:val="0"/>
            <w:vAlign w:val="center"/>
          </w:tcPr>
          <w:p w14:paraId="7640EBFF">
            <w:pPr>
              <w:autoSpaceDE w:val="0"/>
              <w:autoSpaceDN w:val="0"/>
              <w:rPr>
                <w:rFonts w:hint="eastAsia" w:ascii="宋体" w:hAnsi="宋体" w:cs="宋体"/>
                <w:color w:val="auto"/>
                <w:kern w:val="0"/>
                <w:szCs w:val="21"/>
                <w:highlight w:val="none"/>
              </w:rPr>
            </w:pPr>
          </w:p>
        </w:tc>
        <w:tc>
          <w:tcPr>
            <w:tcW w:w="1494" w:type="dxa"/>
            <w:vMerge w:val="continue"/>
            <w:tcBorders>
              <w:right w:val="single" w:color="auto" w:sz="4" w:space="0"/>
            </w:tcBorders>
            <w:noWrap w:val="0"/>
            <w:vAlign w:val="center"/>
          </w:tcPr>
          <w:p w14:paraId="15861399">
            <w:pPr>
              <w:pStyle w:val="4"/>
              <w:jc w:val="center"/>
              <w:rPr>
                <w:rFonts w:hint="eastAsia" w:hAnsi="宋体" w:cs="宋体"/>
                <w:color w:val="auto"/>
                <w:kern w:val="0"/>
                <w:highlight w:val="none"/>
              </w:rPr>
            </w:pPr>
          </w:p>
        </w:tc>
        <w:tc>
          <w:tcPr>
            <w:tcW w:w="694" w:type="dxa"/>
            <w:vMerge w:val="continue"/>
            <w:tcBorders>
              <w:left w:val="single" w:color="auto" w:sz="4" w:space="0"/>
              <w:right w:val="single" w:color="auto" w:sz="4" w:space="0"/>
            </w:tcBorders>
            <w:noWrap w:val="0"/>
            <w:vAlign w:val="center"/>
          </w:tcPr>
          <w:p w14:paraId="0B964EB4">
            <w:pPr>
              <w:pStyle w:val="4"/>
              <w:jc w:val="center"/>
              <w:rPr>
                <w:rFonts w:hint="eastAsia" w:hAnsi="宋体" w:cs="宋体"/>
                <w:color w:val="auto"/>
                <w:kern w:val="0"/>
                <w:highlight w:val="none"/>
              </w:rPr>
            </w:pPr>
          </w:p>
        </w:tc>
        <w:tc>
          <w:tcPr>
            <w:tcW w:w="4925" w:type="dxa"/>
            <w:tcBorders>
              <w:top w:val="single" w:color="auto" w:sz="4" w:space="0"/>
              <w:left w:val="single" w:color="auto" w:sz="4" w:space="0"/>
              <w:bottom w:val="single" w:color="auto" w:sz="4" w:space="0"/>
            </w:tcBorders>
            <w:noWrap w:val="0"/>
            <w:vAlign w:val="center"/>
          </w:tcPr>
          <w:p w14:paraId="49010FD9">
            <w:pPr>
              <w:adjustRightInd w:val="0"/>
              <w:snapToGrid w:val="0"/>
              <w:rPr>
                <w:rFonts w:hint="eastAsia" w:ascii="宋体" w:hAnsi="宋体" w:cs="宋体"/>
                <w:color w:val="auto"/>
                <w:sz w:val="20"/>
                <w:szCs w:val="21"/>
                <w:highlight w:val="none"/>
              </w:rPr>
            </w:pPr>
            <w:r>
              <w:rPr>
                <w:rFonts w:hint="eastAsia" w:hAnsi="宋体"/>
                <w:color w:val="auto"/>
                <w:sz w:val="20"/>
                <w:szCs w:val="21"/>
                <w:highlight w:val="none"/>
              </w:rPr>
              <w:t>理解和认识基本准确</w:t>
            </w:r>
            <w:r>
              <w:rPr>
                <w:rFonts w:hint="eastAsia" w:hAnsi="宋体"/>
                <w:color w:val="auto"/>
                <w:spacing w:val="-4"/>
                <w:sz w:val="20"/>
                <w:szCs w:val="21"/>
                <w:highlight w:val="none"/>
              </w:rPr>
              <w:t>，思路较清晰，得3</w:t>
            </w:r>
            <w:r>
              <w:rPr>
                <w:rFonts w:hAnsi="宋体"/>
                <w:color w:val="auto"/>
                <w:spacing w:val="-4"/>
                <w:sz w:val="20"/>
                <w:szCs w:val="21"/>
                <w:highlight w:val="none"/>
              </w:rPr>
              <w:t>-</w:t>
            </w:r>
            <w:r>
              <w:rPr>
                <w:rFonts w:hint="eastAsia" w:hAnsi="宋体"/>
                <w:color w:val="auto"/>
                <w:spacing w:val="-4"/>
                <w:sz w:val="20"/>
                <w:szCs w:val="21"/>
                <w:highlight w:val="none"/>
              </w:rPr>
              <w:t>4分；</w:t>
            </w:r>
          </w:p>
        </w:tc>
      </w:tr>
      <w:tr w14:paraId="25ABC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continue"/>
            <w:noWrap w:val="0"/>
            <w:vAlign w:val="center"/>
          </w:tcPr>
          <w:p w14:paraId="05333102">
            <w:pPr>
              <w:autoSpaceDE w:val="0"/>
              <w:autoSpaceDN w:val="0"/>
              <w:rPr>
                <w:rFonts w:hint="eastAsia" w:ascii="宋体" w:hAnsi="宋体" w:cs="宋体"/>
                <w:color w:val="auto"/>
                <w:kern w:val="0"/>
                <w:szCs w:val="21"/>
                <w:highlight w:val="none"/>
              </w:rPr>
            </w:pPr>
          </w:p>
        </w:tc>
        <w:tc>
          <w:tcPr>
            <w:tcW w:w="426" w:type="pct"/>
            <w:vMerge w:val="continue"/>
            <w:noWrap w:val="0"/>
            <w:vAlign w:val="center"/>
          </w:tcPr>
          <w:p w14:paraId="453F4AD2">
            <w:pPr>
              <w:autoSpaceDE w:val="0"/>
              <w:autoSpaceDN w:val="0"/>
              <w:rPr>
                <w:rFonts w:hint="eastAsia" w:ascii="宋体" w:hAnsi="宋体" w:cs="宋体"/>
                <w:color w:val="auto"/>
                <w:kern w:val="0"/>
                <w:szCs w:val="21"/>
                <w:highlight w:val="none"/>
              </w:rPr>
            </w:pPr>
          </w:p>
        </w:tc>
        <w:tc>
          <w:tcPr>
            <w:tcW w:w="421" w:type="pct"/>
            <w:vMerge w:val="continue"/>
            <w:noWrap w:val="0"/>
            <w:vAlign w:val="center"/>
          </w:tcPr>
          <w:p w14:paraId="38F66184">
            <w:pPr>
              <w:autoSpaceDE w:val="0"/>
              <w:autoSpaceDN w:val="0"/>
              <w:rPr>
                <w:rFonts w:hint="eastAsia" w:ascii="宋体" w:hAnsi="宋体" w:cs="宋体"/>
                <w:color w:val="auto"/>
                <w:kern w:val="0"/>
                <w:szCs w:val="21"/>
                <w:highlight w:val="none"/>
              </w:rPr>
            </w:pPr>
          </w:p>
        </w:tc>
        <w:tc>
          <w:tcPr>
            <w:tcW w:w="1494" w:type="dxa"/>
            <w:vMerge w:val="continue"/>
            <w:tcBorders>
              <w:right w:val="single" w:color="auto" w:sz="4" w:space="0"/>
            </w:tcBorders>
            <w:noWrap w:val="0"/>
            <w:vAlign w:val="center"/>
          </w:tcPr>
          <w:p w14:paraId="6149E030">
            <w:pPr>
              <w:pStyle w:val="4"/>
              <w:jc w:val="center"/>
              <w:rPr>
                <w:rFonts w:hint="eastAsia" w:hAnsi="宋体" w:cs="宋体"/>
                <w:color w:val="auto"/>
                <w:kern w:val="0"/>
                <w:highlight w:val="none"/>
              </w:rPr>
            </w:pPr>
          </w:p>
        </w:tc>
        <w:tc>
          <w:tcPr>
            <w:tcW w:w="694" w:type="dxa"/>
            <w:vMerge w:val="continue"/>
            <w:tcBorders>
              <w:left w:val="single" w:color="auto" w:sz="4" w:space="0"/>
              <w:bottom w:val="single" w:color="auto" w:sz="4" w:space="0"/>
              <w:right w:val="single" w:color="auto" w:sz="4" w:space="0"/>
            </w:tcBorders>
            <w:noWrap w:val="0"/>
            <w:vAlign w:val="center"/>
          </w:tcPr>
          <w:p w14:paraId="205CA439">
            <w:pPr>
              <w:pStyle w:val="4"/>
              <w:jc w:val="center"/>
              <w:rPr>
                <w:rFonts w:hint="eastAsia" w:hAnsi="宋体" w:cs="宋体"/>
                <w:color w:val="auto"/>
                <w:kern w:val="0"/>
                <w:highlight w:val="none"/>
              </w:rPr>
            </w:pPr>
          </w:p>
        </w:tc>
        <w:tc>
          <w:tcPr>
            <w:tcW w:w="4925" w:type="dxa"/>
            <w:tcBorders>
              <w:top w:val="single" w:color="auto" w:sz="4" w:space="0"/>
              <w:left w:val="single" w:color="auto" w:sz="4" w:space="0"/>
              <w:bottom w:val="single" w:color="auto" w:sz="4" w:space="0"/>
            </w:tcBorders>
            <w:noWrap w:val="0"/>
            <w:vAlign w:val="center"/>
          </w:tcPr>
          <w:p w14:paraId="6E6BEFCD">
            <w:pPr>
              <w:adjustRightInd w:val="0"/>
              <w:snapToGrid w:val="0"/>
              <w:rPr>
                <w:rFonts w:hint="eastAsia" w:ascii="宋体" w:hAnsi="宋体" w:cs="宋体"/>
                <w:color w:val="auto"/>
                <w:sz w:val="20"/>
                <w:szCs w:val="21"/>
                <w:highlight w:val="none"/>
              </w:rPr>
            </w:pPr>
            <w:r>
              <w:rPr>
                <w:rFonts w:hint="eastAsia" w:hAnsi="宋体"/>
                <w:color w:val="auto"/>
                <w:sz w:val="20"/>
                <w:szCs w:val="21"/>
                <w:highlight w:val="none"/>
              </w:rPr>
              <w:t>理解和认识准确</w:t>
            </w:r>
            <w:r>
              <w:rPr>
                <w:rFonts w:hint="eastAsia" w:hAnsi="宋体"/>
                <w:color w:val="auto"/>
                <w:spacing w:val="-4"/>
                <w:sz w:val="20"/>
                <w:szCs w:val="21"/>
                <w:highlight w:val="none"/>
              </w:rPr>
              <w:t>，思路清晰、全面，符合项目要求</w:t>
            </w:r>
            <w:r>
              <w:rPr>
                <w:rFonts w:hint="eastAsia" w:hAnsi="宋体"/>
                <w:color w:val="auto"/>
                <w:sz w:val="20"/>
                <w:szCs w:val="21"/>
                <w:highlight w:val="none"/>
              </w:rPr>
              <w:t>，得4-5分。</w:t>
            </w:r>
          </w:p>
        </w:tc>
      </w:tr>
      <w:tr w14:paraId="7A826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continue"/>
            <w:noWrap w:val="0"/>
            <w:vAlign w:val="center"/>
          </w:tcPr>
          <w:p w14:paraId="50D007A3">
            <w:pPr>
              <w:autoSpaceDE w:val="0"/>
              <w:autoSpaceDN w:val="0"/>
              <w:rPr>
                <w:rFonts w:hint="eastAsia" w:ascii="宋体" w:hAnsi="宋体" w:cs="宋体"/>
                <w:color w:val="auto"/>
                <w:kern w:val="0"/>
                <w:szCs w:val="21"/>
                <w:highlight w:val="none"/>
              </w:rPr>
            </w:pPr>
          </w:p>
        </w:tc>
        <w:tc>
          <w:tcPr>
            <w:tcW w:w="426" w:type="pct"/>
            <w:vMerge w:val="continue"/>
            <w:noWrap w:val="0"/>
            <w:vAlign w:val="center"/>
          </w:tcPr>
          <w:p w14:paraId="556C3BB9">
            <w:pPr>
              <w:autoSpaceDE w:val="0"/>
              <w:autoSpaceDN w:val="0"/>
              <w:rPr>
                <w:rFonts w:hint="eastAsia" w:ascii="宋体" w:hAnsi="宋体" w:cs="宋体"/>
                <w:color w:val="auto"/>
                <w:kern w:val="0"/>
                <w:szCs w:val="21"/>
                <w:highlight w:val="none"/>
              </w:rPr>
            </w:pPr>
          </w:p>
        </w:tc>
        <w:tc>
          <w:tcPr>
            <w:tcW w:w="421" w:type="pct"/>
            <w:vMerge w:val="continue"/>
            <w:noWrap w:val="0"/>
            <w:vAlign w:val="center"/>
          </w:tcPr>
          <w:p w14:paraId="5B5C084E">
            <w:pPr>
              <w:autoSpaceDE w:val="0"/>
              <w:autoSpaceDN w:val="0"/>
              <w:rPr>
                <w:rFonts w:hint="eastAsia" w:ascii="宋体" w:hAnsi="宋体" w:cs="宋体"/>
                <w:color w:val="auto"/>
                <w:kern w:val="0"/>
                <w:szCs w:val="21"/>
                <w:highlight w:val="none"/>
              </w:rPr>
            </w:pPr>
          </w:p>
        </w:tc>
        <w:tc>
          <w:tcPr>
            <w:tcW w:w="1494" w:type="dxa"/>
            <w:vMerge w:val="restart"/>
            <w:tcBorders>
              <w:right w:val="single" w:color="auto" w:sz="4" w:space="0"/>
            </w:tcBorders>
            <w:noWrap w:val="0"/>
            <w:vAlign w:val="center"/>
          </w:tcPr>
          <w:p w14:paraId="3F6280C0">
            <w:pPr>
              <w:pStyle w:val="4"/>
              <w:spacing w:line="160" w:lineRule="atLeast"/>
              <w:jc w:val="center"/>
              <w:rPr>
                <w:rFonts w:hAnsi="宋体"/>
                <w:color w:val="auto"/>
                <w:highlight w:val="none"/>
              </w:rPr>
            </w:pPr>
            <w:r>
              <w:rPr>
                <w:rFonts w:hint="eastAsia" w:hAnsi="宋体"/>
                <w:color w:val="auto"/>
                <w:highlight w:val="none"/>
              </w:rPr>
              <w:t>监测工作的重点与难点分析</w:t>
            </w:r>
          </w:p>
        </w:tc>
        <w:tc>
          <w:tcPr>
            <w:tcW w:w="694" w:type="dxa"/>
            <w:vMerge w:val="restart"/>
            <w:tcBorders>
              <w:left w:val="single" w:color="auto" w:sz="4" w:space="0"/>
              <w:right w:val="single" w:color="auto" w:sz="4" w:space="0"/>
            </w:tcBorders>
            <w:noWrap w:val="0"/>
            <w:vAlign w:val="center"/>
          </w:tcPr>
          <w:p w14:paraId="2ECE5AAB">
            <w:pPr>
              <w:pStyle w:val="4"/>
              <w:spacing w:line="160" w:lineRule="atLeast"/>
              <w:ind w:left="33" w:leftChars="-48" w:right="-31" w:rightChars="-15" w:hanging="134" w:hangingChars="64"/>
              <w:jc w:val="center"/>
              <w:rPr>
                <w:rFonts w:hAnsi="宋体"/>
                <w:color w:val="auto"/>
                <w:highlight w:val="none"/>
              </w:rPr>
            </w:pPr>
            <w:r>
              <w:rPr>
                <w:rFonts w:hint="eastAsia" w:hAnsi="宋体"/>
                <w:color w:val="auto"/>
                <w:highlight w:val="none"/>
              </w:rPr>
              <w:t>10分</w:t>
            </w:r>
          </w:p>
        </w:tc>
        <w:tc>
          <w:tcPr>
            <w:tcW w:w="4925" w:type="dxa"/>
            <w:tcBorders>
              <w:top w:val="single" w:color="auto" w:sz="4" w:space="0"/>
              <w:left w:val="single" w:color="auto" w:sz="4" w:space="0"/>
              <w:bottom w:val="single" w:color="auto" w:sz="4" w:space="0"/>
            </w:tcBorders>
            <w:noWrap w:val="0"/>
            <w:vAlign w:val="center"/>
          </w:tcPr>
          <w:p w14:paraId="20938D86">
            <w:pPr>
              <w:pStyle w:val="4"/>
              <w:jc w:val="left"/>
              <w:rPr>
                <w:rFonts w:hAnsi="宋体"/>
                <w:color w:val="auto"/>
                <w:sz w:val="20"/>
                <w:highlight w:val="none"/>
              </w:rPr>
            </w:pPr>
            <w:r>
              <w:rPr>
                <w:rFonts w:hint="eastAsia" w:hAnsi="宋体"/>
                <w:color w:val="auto"/>
                <w:sz w:val="20"/>
                <w:highlight w:val="none"/>
              </w:rPr>
              <w:t>分析一般，对难点、重点把握一般；处理措施基本合理，基本可行，得6分；</w:t>
            </w:r>
          </w:p>
        </w:tc>
      </w:tr>
      <w:tr w14:paraId="11CD3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continue"/>
            <w:noWrap w:val="0"/>
            <w:vAlign w:val="center"/>
          </w:tcPr>
          <w:p w14:paraId="3E69B953">
            <w:pPr>
              <w:autoSpaceDE w:val="0"/>
              <w:autoSpaceDN w:val="0"/>
              <w:rPr>
                <w:rFonts w:hint="eastAsia" w:ascii="宋体" w:hAnsi="宋体" w:cs="宋体"/>
                <w:color w:val="auto"/>
                <w:kern w:val="0"/>
                <w:szCs w:val="21"/>
                <w:highlight w:val="none"/>
              </w:rPr>
            </w:pPr>
          </w:p>
        </w:tc>
        <w:tc>
          <w:tcPr>
            <w:tcW w:w="426" w:type="pct"/>
            <w:vMerge w:val="continue"/>
            <w:noWrap w:val="0"/>
            <w:vAlign w:val="center"/>
          </w:tcPr>
          <w:p w14:paraId="280F1DD9">
            <w:pPr>
              <w:autoSpaceDE w:val="0"/>
              <w:autoSpaceDN w:val="0"/>
              <w:rPr>
                <w:rFonts w:hint="eastAsia" w:ascii="宋体" w:hAnsi="宋体" w:cs="宋体"/>
                <w:color w:val="auto"/>
                <w:kern w:val="0"/>
                <w:szCs w:val="21"/>
                <w:highlight w:val="none"/>
              </w:rPr>
            </w:pPr>
          </w:p>
        </w:tc>
        <w:tc>
          <w:tcPr>
            <w:tcW w:w="421" w:type="pct"/>
            <w:vMerge w:val="continue"/>
            <w:noWrap w:val="0"/>
            <w:vAlign w:val="center"/>
          </w:tcPr>
          <w:p w14:paraId="3E9D2589">
            <w:pPr>
              <w:autoSpaceDE w:val="0"/>
              <w:autoSpaceDN w:val="0"/>
              <w:rPr>
                <w:rFonts w:hint="eastAsia" w:ascii="宋体" w:hAnsi="宋体" w:cs="宋体"/>
                <w:color w:val="auto"/>
                <w:kern w:val="0"/>
                <w:szCs w:val="21"/>
                <w:highlight w:val="none"/>
              </w:rPr>
            </w:pPr>
          </w:p>
        </w:tc>
        <w:tc>
          <w:tcPr>
            <w:tcW w:w="1494" w:type="dxa"/>
            <w:vMerge w:val="continue"/>
            <w:tcBorders>
              <w:right w:val="single" w:color="auto" w:sz="4" w:space="0"/>
            </w:tcBorders>
            <w:noWrap w:val="0"/>
            <w:vAlign w:val="top"/>
          </w:tcPr>
          <w:p w14:paraId="55C54864">
            <w:pPr>
              <w:pStyle w:val="4"/>
              <w:jc w:val="center"/>
              <w:rPr>
                <w:rFonts w:hint="eastAsia" w:hAnsi="宋体" w:cs="宋体"/>
                <w:color w:val="auto"/>
                <w:kern w:val="0"/>
                <w:highlight w:val="none"/>
              </w:rPr>
            </w:pPr>
          </w:p>
        </w:tc>
        <w:tc>
          <w:tcPr>
            <w:tcW w:w="694" w:type="dxa"/>
            <w:vMerge w:val="continue"/>
            <w:tcBorders>
              <w:left w:val="single" w:color="auto" w:sz="4" w:space="0"/>
              <w:right w:val="single" w:color="auto" w:sz="4" w:space="0"/>
            </w:tcBorders>
            <w:noWrap w:val="0"/>
            <w:vAlign w:val="center"/>
          </w:tcPr>
          <w:p w14:paraId="2D697B87">
            <w:pPr>
              <w:pStyle w:val="4"/>
              <w:jc w:val="center"/>
              <w:rPr>
                <w:rFonts w:hint="eastAsia" w:hAnsi="宋体" w:cs="宋体"/>
                <w:color w:val="auto"/>
                <w:kern w:val="0"/>
                <w:highlight w:val="none"/>
              </w:rPr>
            </w:pPr>
          </w:p>
        </w:tc>
        <w:tc>
          <w:tcPr>
            <w:tcW w:w="4925" w:type="dxa"/>
            <w:tcBorders>
              <w:top w:val="single" w:color="auto" w:sz="4" w:space="0"/>
              <w:left w:val="single" w:color="auto" w:sz="4" w:space="0"/>
              <w:bottom w:val="single" w:color="auto" w:sz="4" w:space="0"/>
            </w:tcBorders>
            <w:noWrap w:val="0"/>
            <w:vAlign w:val="center"/>
          </w:tcPr>
          <w:p w14:paraId="07FE4911">
            <w:pPr>
              <w:rPr>
                <w:rFonts w:hint="eastAsia" w:ascii="宋体" w:hAnsi="宋体" w:cs="宋体"/>
                <w:color w:val="auto"/>
                <w:sz w:val="20"/>
                <w:highlight w:val="none"/>
              </w:rPr>
            </w:pPr>
            <w:r>
              <w:rPr>
                <w:rFonts w:hint="eastAsia" w:hAnsi="宋体"/>
                <w:color w:val="auto"/>
                <w:sz w:val="20"/>
                <w:szCs w:val="21"/>
                <w:highlight w:val="none"/>
              </w:rPr>
              <w:t>分析较透彻，对难点、重点把握较准确；处理措施合理，可行，得6-8分；</w:t>
            </w:r>
          </w:p>
        </w:tc>
      </w:tr>
      <w:tr w14:paraId="68961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continue"/>
            <w:noWrap w:val="0"/>
            <w:vAlign w:val="center"/>
          </w:tcPr>
          <w:p w14:paraId="3D1BA48B">
            <w:pPr>
              <w:autoSpaceDE w:val="0"/>
              <w:autoSpaceDN w:val="0"/>
              <w:rPr>
                <w:rFonts w:hint="eastAsia" w:ascii="宋体" w:hAnsi="宋体" w:cs="宋体"/>
                <w:color w:val="auto"/>
                <w:kern w:val="0"/>
                <w:szCs w:val="21"/>
                <w:highlight w:val="none"/>
              </w:rPr>
            </w:pPr>
          </w:p>
        </w:tc>
        <w:tc>
          <w:tcPr>
            <w:tcW w:w="426" w:type="pct"/>
            <w:vMerge w:val="continue"/>
            <w:noWrap w:val="0"/>
            <w:vAlign w:val="center"/>
          </w:tcPr>
          <w:p w14:paraId="7CD22705">
            <w:pPr>
              <w:autoSpaceDE w:val="0"/>
              <w:autoSpaceDN w:val="0"/>
              <w:rPr>
                <w:rFonts w:hint="eastAsia" w:ascii="宋体" w:hAnsi="宋体" w:cs="宋体"/>
                <w:color w:val="auto"/>
                <w:kern w:val="0"/>
                <w:szCs w:val="21"/>
                <w:highlight w:val="none"/>
              </w:rPr>
            </w:pPr>
          </w:p>
        </w:tc>
        <w:tc>
          <w:tcPr>
            <w:tcW w:w="421" w:type="pct"/>
            <w:vMerge w:val="continue"/>
            <w:noWrap w:val="0"/>
            <w:vAlign w:val="center"/>
          </w:tcPr>
          <w:p w14:paraId="3F381C6D">
            <w:pPr>
              <w:autoSpaceDE w:val="0"/>
              <w:autoSpaceDN w:val="0"/>
              <w:rPr>
                <w:rFonts w:hint="eastAsia" w:ascii="宋体" w:hAnsi="宋体" w:cs="宋体"/>
                <w:color w:val="auto"/>
                <w:kern w:val="0"/>
                <w:szCs w:val="21"/>
                <w:highlight w:val="none"/>
              </w:rPr>
            </w:pPr>
          </w:p>
        </w:tc>
        <w:tc>
          <w:tcPr>
            <w:tcW w:w="1494" w:type="dxa"/>
            <w:vMerge w:val="continue"/>
            <w:tcBorders>
              <w:bottom w:val="single" w:color="auto" w:sz="4" w:space="0"/>
              <w:right w:val="single" w:color="auto" w:sz="4" w:space="0"/>
            </w:tcBorders>
            <w:noWrap w:val="0"/>
            <w:vAlign w:val="top"/>
          </w:tcPr>
          <w:p w14:paraId="47FC8B02">
            <w:pPr>
              <w:pStyle w:val="4"/>
              <w:jc w:val="center"/>
              <w:rPr>
                <w:rFonts w:hint="eastAsia" w:hAnsi="宋体" w:cs="宋体"/>
                <w:color w:val="auto"/>
                <w:kern w:val="0"/>
                <w:highlight w:val="none"/>
              </w:rPr>
            </w:pPr>
          </w:p>
        </w:tc>
        <w:tc>
          <w:tcPr>
            <w:tcW w:w="694" w:type="dxa"/>
            <w:vMerge w:val="continue"/>
            <w:tcBorders>
              <w:left w:val="single" w:color="auto" w:sz="4" w:space="0"/>
              <w:bottom w:val="single" w:color="auto" w:sz="4" w:space="0"/>
              <w:right w:val="single" w:color="auto" w:sz="4" w:space="0"/>
            </w:tcBorders>
            <w:noWrap w:val="0"/>
            <w:vAlign w:val="center"/>
          </w:tcPr>
          <w:p w14:paraId="231D9655">
            <w:pPr>
              <w:pStyle w:val="4"/>
              <w:jc w:val="center"/>
              <w:rPr>
                <w:rFonts w:hint="eastAsia" w:hAnsi="宋体" w:cs="宋体"/>
                <w:color w:val="auto"/>
                <w:kern w:val="0"/>
                <w:highlight w:val="none"/>
              </w:rPr>
            </w:pPr>
          </w:p>
        </w:tc>
        <w:tc>
          <w:tcPr>
            <w:tcW w:w="4925" w:type="dxa"/>
            <w:tcBorders>
              <w:top w:val="single" w:color="auto" w:sz="4" w:space="0"/>
              <w:left w:val="single" w:color="auto" w:sz="4" w:space="0"/>
              <w:bottom w:val="single" w:color="auto" w:sz="4" w:space="0"/>
            </w:tcBorders>
            <w:noWrap w:val="0"/>
            <w:vAlign w:val="center"/>
          </w:tcPr>
          <w:p w14:paraId="2C5DBE70">
            <w:pPr>
              <w:rPr>
                <w:rFonts w:hint="eastAsia" w:ascii="宋体" w:hAnsi="宋体" w:cs="宋体"/>
                <w:color w:val="auto"/>
                <w:sz w:val="20"/>
                <w:highlight w:val="none"/>
              </w:rPr>
            </w:pPr>
            <w:r>
              <w:rPr>
                <w:rFonts w:hint="eastAsia" w:hAnsi="宋体"/>
                <w:color w:val="auto"/>
                <w:sz w:val="20"/>
                <w:szCs w:val="21"/>
                <w:highlight w:val="none"/>
              </w:rPr>
              <w:t>分析透彻，对难点、重点把握准确；处理措施科学合理，有效可行，得8-10分。</w:t>
            </w:r>
          </w:p>
        </w:tc>
      </w:tr>
      <w:tr w14:paraId="5A9CD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continue"/>
            <w:noWrap w:val="0"/>
            <w:vAlign w:val="center"/>
          </w:tcPr>
          <w:p w14:paraId="384794AA">
            <w:pPr>
              <w:autoSpaceDE w:val="0"/>
              <w:autoSpaceDN w:val="0"/>
              <w:rPr>
                <w:rFonts w:hint="eastAsia" w:ascii="宋体" w:hAnsi="宋体" w:cs="宋体"/>
                <w:color w:val="auto"/>
                <w:kern w:val="0"/>
                <w:szCs w:val="21"/>
                <w:highlight w:val="none"/>
              </w:rPr>
            </w:pPr>
          </w:p>
        </w:tc>
        <w:tc>
          <w:tcPr>
            <w:tcW w:w="426" w:type="pct"/>
            <w:vMerge w:val="continue"/>
            <w:noWrap w:val="0"/>
            <w:vAlign w:val="center"/>
          </w:tcPr>
          <w:p w14:paraId="791E61BF">
            <w:pPr>
              <w:autoSpaceDE w:val="0"/>
              <w:autoSpaceDN w:val="0"/>
              <w:rPr>
                <w:rFonts w:hint="eastAsia" w:ascii="宋体" w:hAnsi="宋体" w:cs="宋体"/>
                <w:color w:val="auto"/>
                <w:kern w:val="0"/>
                <w:szCs w:val="21"/>
                <w:highlight w:val="none"/>
              </w:rPr>
            </w:pPr>
          </w:p>
        </w:tc>
        <w:tc>
          <w:tcPr>
            <w:tcW w:w="421" w:type="pct"/>
            <w:vMerge w:val="continue"/>
            <w:noWrap w:val="0"/>
            <w:vAlign w:val="center"/>
          </w:tcPr>
          <w:p w14:paraId="6D5F5258">
            <w:pPr>
              <w:autoSpaceDE w:val="0"/>
              <w:autoSpaceDN w:val="0"/>
              <w:rPr>
                <w:rFonts w:hint="eastAsia" w:ascii="宋体" w:hAnsi="宋体" w:cs="宋体"/>
                <w:color w:val="auto"/>
                <w:kern w:val="0"/>
                <w:szCs w:val="21"/>
                <w:highlight w:val="none"/>
              </w:rPr>
            </w:pPr>
          </w:p>
        </w:tc>
        <w:tc>
          <w:tcPr>
            <w:tcW w:w="1494" w:type="dxa"/>
            <w:vMerge w:val="restart"/>
            <w:tcBorders>
              <w:right w:val="single" w:color="auto" w:sz="4" w:space="0"/>
            </w:tcBorders>
            <w:noWrap w:val="0"/>
            <w:vAlign w:val="center"/>
          </w:tcPr>
          <w:p w14:paraId="57D827AB">
            <w:pPr>
              <w:pStyle w:val="7"/>
              <w:jc w:val="center"/>
              <w:rPr>
                <w:rFonts w:hAnsi="宋体"/>
                <w:color w:val="auto"/>
                <w:szCs w:val="21"/>
                <w:highlight w:val="none"/>
              </w:rPr>
            </w:pPr>
            <w:r>
              <w:rPr>
                <w:rFonts w:hint="eastAsia"/>
                <w:color w:val="auto"/>
                <w:sz w:val="21"/>
                <w:szCs w:val="21"/>
                <w:highlight w:val="none"/>
              </w:rPr>
              <w:t>监测系统实施 方案</w:t>
            </w:r>
          </w:p>
        </w:tc>
        <w:tc>
          <w:tcPr>
            <w:tcW w:w="694" w:type="dxa"/>
            <w:vMerge w:val="restart"/>
            <w:tcBorders>
              <w:left w:val="single" w:color="auto" w:sz="4" w:space="0"/>
              <w:right w:val="single" w:color="auto" w:sz="4" w:space="0"/>
            </w:tcBorders>
            <w:noWrap w:val="0"/>
            <w:vAlign w:val="center"/>
          </w:tcPr>
          <w:p w14:paraId="79BB020C">
            <w:pPr>
              <w:pStyle w:val="4"/>
              <w:spacing w:line="160" w:lineRule="atLeast"/>
              <w:jc w:val="center"/>
              <w:rPr>
                <w:rFonts w:hAnsi="宋体"/>
                <w:color w:val="auto"/>
                <w:highlight w:val="none"/>
              </w:rPr>
            </w:pPr>
            <w:r>
              <w:rPr>
                <w:rFonts w:hint="eastAsia" w:hAnsi="宋体"/>
                <w:color w:val="auto"/>
                <w:highlight w:val="none"/>
              </w:rPr>
              <w:t>10分</w:t>
            </w:r>
          </w:p>
        </w:tc>
        <w:tc>
          <w:tcPr>
            <w:tcW w:w="4925" w:type="dxa"/>
            <w:tcBorders>
              <w:top w:val="single" w:color="auto" w:sz="4" w:space="0"/>
              <w:left w:val="single" w:color="auto" w:sz="4" w:space="0"/>
              <w:bottom w:val="single" w:color="auto" w:sz="4" w:space="0"/>
            </w:tcBorders>
            <w:noWrap w:val="0"/>
            <w:vAlign w:val="center"/>
          </w:tcPr>
          <w:p w14:paraId="4D433120">
            <w:pPr>
              <w:jc w:val="left"/>
              <w:rPr>
                <w:rFonts w:ascii="宋体" w:hAnsi="宋体"/>
                <w:color w:val="auto"/>
                <w:sz w:val="20"/>
                <w:szCs w:val="21"/>
                <w:highlight w:val="none"/>
              </w:rPr>
            </w:pPr>
            <w:r>
              <w:rPr>
                <w:rFonts w:hint="eastAsia" w:ascii="宋体" w:hAnsi="宋体"/>
                <w:color w:val="auto"/>
                <w:sz w:val="20"/>
                <w:szCs w:val="21"/>
                <w:highlight w:val="none"/>
              </w:rPr>
              <w:t>实施方案内容一般，得6分；</w:t>
            </w:r>
          </w:p>
        </w:tc>
      </w:tr>
      <w:tr w14:paraId="5B0A7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continue"/>
            <w:noWrap w:val="0"/>
            <w:vAlign w:val="center"/>
          </w:tcPr>
          <w:p w14:paraId="0BE65F88">
            <w:pPr>
              <w:autoSpaceDE w:val="0"/>
              <w:autoSpaceDN w:val="0"/>
              <w:rPr>
                <w:rFonts w:hint="eastAsia" w:ascii="宋体" w:hAnsi="宋体" w:cs="宋体"/>
                <w:color w:val="auto"/>
                <w:kern w:val="0"/>
                <w:szCs w:val="21"/>
                <w:highlight w:val="none"/>
              </w:rPr>
            </w:pPr>
          </w:p>
        </w:tc>
        <w:tc>
          <w:tcPr>
            <w:tcW w:w="426" w:type="pct"/>
            <w:vMerge w:val="continue"/>
            <w:noWrap w:val="0"/>
            <w:vAlign w:val="center"/>
          </w:tcPr>
          <w:p w14:paraId="05BDD905">
            <w:pPr>
              <w:autoSpaceDE w:val="0"/>
              <w:autoSpaceDN w:val="0"/>
              <w:rPr>
                <w:rFonts w:hint="eastAsia" w:ascii="宋体" w:hAnsi="宋体" w:cs="宋体"/>
                <w:color w:val="auto"/>
                <w:kern w:val="0"/>
                <w:szCs w:val="21"/>
                <w:highlight w:val="none"/>
              </w:rPr>
            </w:pPr>
          </w:p>
        </w:tc>
        <w:tc>
          <w:tcPr>
            <w:tcW w:w="421" w:type="pct"/>
            <w:vMerge w:val="continue"/>
            <w:noWrap w:val="0"/>
            <w:vAlign w:val="center"/>
          </w:tcPr>
          <w:p w14:paraId="6A625CA6">
            <w:pPr>
              <w:autoSpaceDE w:val="0"/>
              <w:autoSpaceDN w:val="0"/>
              <w:rPr>
                <w:rFonts w:hint="eastAsia" w:ascii="宋体" w:hAnsi="宋体" w:cs="宋体"/>
                <w:color w:val="auto"/>
                <w:kern w:val="0"/>
                <w:szCs w:val="21"/>
                <w:highlight w:val="none"/>
              </w:rPr>
            </w:pPr>
          </w:p>
        </w:tc>
        <w:tc>
          <w:tcPr>
            <w:tcW w:w="1494" w:type="dxa"/>
            <w:vMerge w:val="continue"/>
            <w:tcBorders>
              <w:right w:val="single" w:color="auto" w:sz="4" w:space="0"/>
            </w:tcBorders>
            <w:noWrap w:val="0"/>
            <w:vAlign w:val="center"/>
          </w:tcPr>
          <w:p w14:paraId="25184372">
            <w:pPr>
              <w:pStyle w:val="4"/>
              <w:jc w:val="center"/>
              <w:rPr>
                <w:rFonts w:hint="eastAsia" w:hAnsi="宋体" w:cs="宋体"/>
                <w:color w:val="auto"/>
                <w:kern w:val="0"/>
                <w:highlight w:val="none"/>
              </w:rPr>
            </w:pPr>
          </w:p>
        </w:tc>
        <w:tc>
          <w:tcPr>
            <w:tcW w:w="694" w:type="dxa"/>
            <w:vMerge w:val="continue"/>
            <w:tcBorders>
              <w:left w:val="single" w:color="auto" w:sz="4" w:space="0"/>
              <w:right w:val="single" w:color="auto" w:sz="4" w:space="0"/>
            </w:tcBorders>
            <w:noWrap w:val="0"/>
            <w:vAlign w:val="center"/>
          </w:tcPr>
          <w:p w14:paraId="3089C186">
            <w:pPr>
              <w:autoSpaceDE w:val="0"/>
              <w:autoSpaceDN w:val="0"/>
              <w:jc w:val="center"/>
              <w:rPr>
                <w:rFonts w:hint="eastAsia" w:ascii="宋体" w:hAnsi="宋体" w:cs="宋体"/>
                <w:color w:val="auto"/>
                <w:kern w:val="0"/>
                <w:szCs w:val="21"/>
                <w:highlight w:val="none"/>
              </w:rPr>
            </w:pPr>
          </w:p>
        </w:tc>
        <w:tc>
          <w:tcPr>
            <w:tcW w:w="4925" w:type="dxa"/>
            <w:tcBorders>
              <w:top w:val="single" w:color="auto" w:sz="4" w:space="0"/>
              <w:left w:val="single" w:color="auto" w:sz="4" w:space="0"/>
              <w:bottom w:val="single" w:color="auto" w:sz="4" w:space="0"/>
            </w:tcBorders>
            <w:noWrap w:val="0"/>
            <w:vAlign w:val="center"/>
          </w:tcPr>
          <w:p w14:paraId="40C0BF49">
            <w:pPr>
              <w:adjustRightInd w:val="0"/>
              <w:snapToGrid w:val="0"/>
              <w:rPr>
                <w:rFonts w:hint="eastAsia" w:ascii="宋体" w:hAnsi="宋体" w:cs="宋体"/>
                <w:color w:val="auto"/>
                <w:sz w:val="20"/>
                <w:szCs w:val="21"/>
                <w:highlight w:val="none"/>
              </w:rPr>
            </w:pPr>
            <w:r>
              <w:rPr>
                <w:rFonts w:hint="eastAsia" w:ascii="宋体" w:hAnsi="宋体"/>
                <w:color w:val="auto"/>
                <w:sz w:val="20"/>
                <w:szCs w:val="21"/>
                <w:highlight w:val="none"/>
              </w:rPr>
              <w:t>实施方案内容基本全面、可行，得6-8分；</w:t>
            </w:r>
          </w:p>
        </w:tc>
      </w:tr>
      <w:tr w14:paraId="412CA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continue"/>
            <w:noWrap w:val="0"/>
            <w:vAlign w:val="center"/>
          </w:tcPr>
          <w:p w14:paraId="12112306">
            <w:pPr>
              <w:autoSpaceDE w:val="0"/>
              <w:autoSpaceDN w:val="0"/>
              <w:rPr>
                <w:rFonts w:hint="eastAsia" w:ascii="宋体" w:hAnsi="宋体" w:cs="宋体"/>
                <w:color w:val="auto"/>
                <w:kern w:val="0"/>
                <w:szCs w:val="21"/>
                <w:highlight w:val="none"/>
              </w:rPr>
            </w:pPr>
          </w:p>
        </w:tc>
        <w:tc>
          <w:tcPr>
            <w:tcW w:w="426" w:type="pct"/>
            <w:vMerge w:val="continue"/>
            <w:noWrap w:val="0"/>
            <w:vAlign w:val="center"/>
          </w:tcPr>
          <w:p w14:paraId="69C82EEB">
            <w:pPr>
              <w:autoSpaceDE w:val="0"/>
              <w:autoSpaceDN w:val="0"/>
              <w:rPr>
                <w:rFonts w:hint="eastAsia" w:ascii="宋体" w:hAnsi="宋体" w:cs="宋体"/>
                <w:color w:val="auto"/>
                <w:kern w:val="0"/>
                <w:szCs w:val="21"/>
                <w:highlight w:val="none"/>
              </w:rPr>
            </w:pPr>
          </w:p>
        </w:tc>
        <w:tc>
          <w:tcPr>
            <w:tcW w:w="421" w:type="pct"/>
            <w:vMerge w:val="continue"/>
            <w:noWrap w:val="0"/>
            <w:vAlign w:val="center"/>
          </w:tcPr>
          <w:p w14:paraId="5E149DBF">
            <w:pPr>
              <w:autoSpaceDE w:val="0"/>
              <w:autoSpaceDN w:val="0"/>
              <w:rPr>
                <w:rFonts w:hint="eastAsia" w:ascii="宋体" w:hAnsi="宋体" w:cs="宋体"/>
                <w:color w:val="auto"/>
                <w:kern w:val="0"/>
                <w:szCs w:val="21"/>
                <w:highlight w:val="none"/>
              </w:rPr>
            </w:pPr>
          </w:p>
        </w:tc>
        <w:tc>
          <w:tcPr>
            <w:tcW w:w="1494" w:type="dxa"/>
            <w:vMerge w:val="continue"/>
            <w:tcBorders>
              <w:right w:val="single" w:color="auto" w:sz="4" w:space="0"/>
            </w:tcBorders>
            <w:noWrap w:val="0"/>
            <w:vAlign w:val="center"/>
          </w:tcPr>
          <w:p w14:paraId="496BCA98">
            <w:pPr>
              <w:pStyle w:val="4"/>
              <w:jc w:val="center"/>
              <w:rPr>
                <w:rFonts w:hint="eastAsia" w:hAnsi="宋体" w:cs="宋体"/>
                <w:color w:val="auto"/>
                <w:kern w:val="0"/>
                <w:highlight w:val="none"/>
              </w:rPr>
            </w:pPr>
          </w:p>
        </w:tc>
        <w:tc>
          <w:tcPr>
            <w:tcW w:w="694" w:type="dxa"/>
            <w:vMerge w:val="continue"/>
            <w:tcBorders>
              <w:left w:val="single" w:color="auto" w:sz="4" w:space="0"/>
              <w:right w:val="single" w:color="auto" w:sz="4" w:space="0"/>
            </w:tcBorders>
            <w:noWrap w:val="0"/>
            <w:vAlign w:val="center"/>
          </w:tcPr>
          <w:p w14:paraId="6094633D">
            <w:pPr>
              <w:autoSpaceDE w:val="0"/>
              <w:autoSpaceDN w:val="0"/>
              <w:jc w:val="center"/>
              <w:rPr>
                <w:rFonts w:hint="eastAsia" w:ascii="宋体" w:hAnsi="宋体" w:cs="宋体"/>
                <w:color w:val="auto"/>
                <w:kern w:val="0"/>
                <w:szCs w:val="21"/>
                <w:highlight w:val="none"/>
              </w:rPr>
            </w:pPr>
          </w:p>
        </w:tc>
        <w:tc>
          <w:tcPr>
            <w:tcW w:w="4925" w:type="dxa"/>
            <w:tcBorders>
              <w:top w:val="single" w:color="auto" w:sz="4" w:space="0"/>
              <w:left w:val="single" w:color="auto" w:sz="4" w:space="0"/>
              <w:bottom w:val="single" w:color="auto" w:sz="4" w:space="0"/>
            </w:tcBorders>
            <w:noWrap w:val="0"/>
            <w:vAlign w:val="center"/>
          </w:tcPr>
          <w:p w14:paraId="0A872402">
            <w:pPr>
              <w:adjustRightInd w:val="0"/>
              <w:snapToGrid w:val="0"/>
              <w:rPr>
                <w:rFonts w:hint="eastAsia" w:ascii="宋体" w:hAnsi="宋体" w:cs="宋体"/>
                <w:color w:val="auto"/>
                <w:sz w:val="20"/>
                <w:szCs w:val="21"/>
                <w:highlight w:val="none"/>
              </w:rPr>
            </w:pPr>
            <w:r>
              <w:rPr>
                <w:rFonts w:hint="eastAsia" w:ascii="宋体" w:hAnsi="宋体"/>
                <w:color w:val="auto"/>
                <w:sz w:val="20"/>
                <w:szCs w:val="21"/>
                <w:highlight w:val="none"/>
              </w:rPr>
              <w:t>实施方案内容全面、可行，得8-10分。</w:t>
            </w:r>
          </w:p>
        </w:tc>
      </w:tr>
      <w:tr w14:paraId="18718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continue"/>
            <w:noWrap w:val="0"/>
            <w:vAlign w:val="center"/>
          </w:tcPr>
          <w:p w14:paraId="4D733E37">
            <w:pPr>
              <w:autoSpaceDE w:val="0"/>
              <w:autoSpaceDN w:val="0"/>
              <w:rPr>
                <w:rFonts w:hint="eastAsia" w:ascii="宋体" w:hAnsi="宋体" w:cs="宋体"/>
                <w:color w:val="auto"/>
                <w:kern w:val="0"/>
                <w:szCs w:val="21"/>
                <w:highlight w:val="none"/>
              </w:rPr>
            </w:pPr>
          </w:p>
        </w:tc>
        <w:tc>
          <w:tcPr>
            <w:tcW w:w="426" w:type="pct"/>
            <w:vMerge w:val="continue"/>
            <w:noWrap w:val="0"/>
            <w:vAlign w:val="center"/>
          </w:tcPr>
          <w:p w14:paraId="4C2F5D45">
            <w:pPr>
              <w:autoSpaceDE w:val="0"/>
              <w:autoSpaceDN w:val="0"/>
              <w:rPr>
                <w:rFonts w:hint="eastAsia" w:ascii="宋体" w:hAnsi="宋体" w:cs="宋体"/>
                <w:color w:val="auto"/>
                <w:kern w:val="0"/>
                <w:szCs w:val="21"/>
                <w:highlight w:val="none"/>
              </w:rPr>
            </w:pPr>
          </w:p>
        </w:tc>
        <w:tc>
          <w:tcPr>
            <w:tcW w:w="421" w:type="pct"/>
            <w:vMerge w:val="continue"/>
            <w:noWrap w:val="0"/>
            <w:vAlign w:val="center"/>
          </w:tcPr>
          <w:p w14:paraId="3DC4B521">
            <w:pPr>
              <w:autoSpaceDE w:val="0"/>
              <w:autoSpaceDN w:val="0"/>
              <w:rPr>
                <w:rFonts w:hint="eastAsia" w:ascii="宋体" w:hAnsi="宋体" w:cs="宋体"/>
                <w:color w:val="auto"/>
                <w:kern w:val="0"/>
                <w:szCs w:val="21"/>
                <w:highlight w:val="none"/>
              </w:rPr>
            </w:pPr>
          </w:p>
        </w:tc>
        <w:tc>
          <w:tcPr>
            <w:tcW w:w="1494" w:type="dxa"/>
            <w:vMerge w:val="restart"/>
            <w:tcBorders>
              <w:right w:val="single" w:color="auto" w:sz="4" w:space="0"/>
            </w:tcBorders>
            <w:noWrap w:val="0"/>
            <w:vAlign w:val="center"/>
          </w:tcPr>
          <w:p w14:paraId="559F2244">
            <w:pPr>
              <w:pStyle w:val="4"/>
              <w:spacing w:line="160" w:lineRule="atLeast"/>
              <w:ind w:right="-59" w:rightChars="-28"/>
              <w:jc w:val="center"/>
              <w:rPr>
                <w:rFonts w:hAnsi="宋体"/>
                <w:color w:val="auto"/>
                <w:highlight w:val="none"/>
              </w:rPr>
            </w:pPr>
            <w:r>
              <w:rPr>
                <w:rFonts w:hint="eastAsia" w:hAnsi="宋体"/>
                <w:color w:val="auto"/>
                <w:highlight w:val="none"/>
              </w:rPr>
              <w:t>系统搭建工作计划与进度安排及保障措施</w:t>
            </w:r>
          </w:p>
        </w:tc>
        <w:tc>
          <w:tcPr>
            <w:tcW w:w="694" w:type="dxa"/>
            <w:vMerge w:val="restart"/>
            <w:tcBorders>
              <w:left w:val="single" w:color="auto" w:sz="4" w:space="0"/>
              <w:right w:val="single" w:color="auto" w:sz="4" w:space="0"/>
            </w:tcBorders>
            <w:noWrap w:val="0"/>
            <w:vAlign w:val="center"/>
          </w:tcPr>
          <w:p w14:paraId="541FC0E5">
            <w:pPr>
              <w:pStyle w:val="4"/>
              <w:spacing w:line="160" w:lineRule="atLeast"/>
              <w:jc w:val="center"/>
              <w:rPr>
                <w:rFonts w:hAnsi="宋体"/>
                <w:color w:val="auto"/>
                <w:highlight w:val="none"/>
              </w:rPr>
            </w:pPr>
            <w:r>
              <w:rPr>
                <w:rFonts w:hint="eastAsia" w:hAnsi="宋体"/>
                <w:color w:val="auto"/>
                <w:highlight w:val="none"/>
              </w:rPr>
              <w:t>5分</w:t>
            </w:r>
          </w:p>
        </w:tc>
        <w:tc>
          <w:tcPr>
            <w:tcW w:w="4925" w:type="dxa"/>
            <w:tcBorders>
              <w:top w:val="single" w:color="auto" w:sz="4" w:space="0"/>
              <w:left w:val="single" w:color="auto" w:sz="4" w:space="0"/>
              <w:bottom w:val="single" w:color="auto" w:sz="4" w:space="0"/>
            </w:tcBorders>
            <w:noWrap w:val="0"/>
            <w:vAlign w:val="center"/>
          </w:tcPr>
          <w:p w14:paraId="5D78308A">
            <w:pPr>
              <w:pStyle w:val="4"/>
              <w:spacing w:line="300" w:lineRule="exact"/>
              <w:jc w:val="left"/>
              <w:rPr>
                <w:rFonts w:hAnsi="宋体"/>
                <w:color w:val="auto"/>
                <w:sz w:val="20"/>
                <w:highlight w:val="none"/>
              </w:rPr>
            </w:pPr>
            <w:r>
              <w:rPr>
                <w:rFonts w:hint="eastAsia" w:hAnsi="宋体"/>
                <w:color w:val="auto"/>
                <w:sz w:val="20"/>
                <w:highlight w:val="none"/>
              </w:rPr>
              <w:t>计划进度安排及保证措施安排一般，得3分；</w:t>
            </w:r>
          </w:p>
        </w:tc>
      </w:tr>
      <w:tr w14:paraId="71FEF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continue"/>
            <w:noWrap w:val="0"/>
            <w:vAlign w:val="center"/>
          </w:tcPr>
          <w:p w14:paraId="189C1DFC">
            <w:pPr>
              <w:autoSpaceDE w:val="0"/>
              <w:autoSpaceDN w:val="0"/>
              <w:rPr>
                <w:rFonts w:hint="eastAsia" w:ascii="宋体" w:hAnsi="宋体" w:cs="宋体"/>
                <w:color w:val="auto"/>
                <w:kern w:val="0"/>
                <w:szCs w:val="21"/>
                <w:highlight w:val="none"/>
              </w:rPr>
            </w:pPr>
          </w:p>
        </w:tc>
        <w:tc>
          <w:tcPr>
            <w:tcW w:w="426" w:type="pct"/>
            <w:vMerge w:val="continue"/>
            <w:noWrap w:val="0"/>
            <w:vAlign w:val="center"/>
          </w:tcPr>
          <w:p w14:paraId="6832FD2F">
            <w:pPr>
              <w:autoSpaceDE w:val="0"/>
              <w:autoSpaceDN w:val="0"/>
              <w:rPr>
                <w:rFonts w:hint="eastAsia" w:ascii="宋体" w:hAnsi="宋体" w:cs="宋体"/>
                <w:color w:val="auto"/>
                <w:kern w:val="0"/>
                <w:szCs w:val="21"/>
                <w:highlight w:val="none"/>
              </w:rPr>
            </w:pPr>
          </w:p>
        </w:tc>
        <w:tc>
          <w:tcPr>
            <w:tcW w:w="421" w:type="pct"/>
            <w:vMerge w:val="continue"/>
            <w:noWrap w:val="0"/>
            <w:vAlign w:val="center"/>
          </w:tcPr>
          <w:p w14:paraId="1A55034E">
            <w:pPr>
              <w:autoSpaceDE w:val="0"/>
              <w:autoSpaceDN w:val="0"/>
              <w:rPr>
                <w:rFonts w:hint="eastAsia" w:ascii="宋体" w:hAnsi="宋体" w:cs="宋体"/>
                <w:color w:val="auto"/>
                <w:kern w:val="0"/>
                <w:szCs w:val="21"/>
                <w:highlight w:val="none"/>
              </w:rPr>
            </w:pPr>
          </w:p>
        </w:tc>
        <w:tc>
          <w:tcPr>
            <w:tcW w:w="1494" w:type="dxa"/>
            <w:vMerge w:val="continue"/>
            <w:tcBorders>
              <w:right w:val="single" w:color="auto" w:sz="4" w:space="0"/>
            </w:tcBorders>
            <w:noWrap w:val="0"/>
            <w:vAlign w:val="top"/>
          </w:tcPr>
          <w:p w14:paraId="0CA8568F">
            <w:pPr>
              <w:pStyle w:val="4"/>
              <w:jc w:val="center"/>
              <w:rPr>
                <w:rFonts w:hint="eastAsia" w:hAnsi="宋体" w:cs="宋体"/>
                <w:color w:val="auto"/>
                <w:kern w:val="0"/>
                <w:highlight w:val="none"/>
              </w:rPr>
            </w:pPr>
          </w:p>
        </w:tc>
        <w:tc>
          <w:tcPr>
            <w:tcW w:w="694" w:type="dxa"/>
            <w:vMerge w:val="continue"/>
            <w:tcBorders>
              <w:left w:val="single" w:color="auto" w:sz="4" w:space="0"/>
              <w:right w:val="single" w:color="auto" w:sz="4" w:space="0"/>
            </w:tcBorders>
            <w:noWrap w:val="0"/>
            <w:vAlign w:val="center"/>
          </w:tcPr>
          <w:p w14:paraId="31998CA3">
            <w:pPr>
              <w:autoSpaceDE w:val="0"/>
              <w:autoSpaceDN w:val="0"/>
              <w:jc w:val="center"/>
              <w:rPr>
                <w:rFonts w:hint="eastAsia" w:ascii="宋体" w:hAnsi="宋体" w:cs="宋体"/>
                <w:color w:val="auto"/>
                <w:kern w:val="0"/>
                <w:szCs w:val="21"/>
                <w:highlight w:val="none"/>
              </w:rPr>
            </w:pPr>
          </w:p>
        </w:tc>
        <w:tc>
          <w:tcPr>
            <w:tcW w:w="4925" w:type="dxa"/>
            <w:tcBorders>
              <w:top w:val="single" w:color="auto" w:sz="4" w:space="0"/>
              <w:left w:val="single" w:color="auto" w:sz="4" w:space="0"/>
              <w:bottom w:val="single" w:color="auto" w:sz="4" w:space="0"/>
            </w:tcBorders>
            <w:noWrap w:val="0"/>
            <w:vAlign w:val="center"/>
          </w:tcPr>
          <w:p w14:paraId="71261BC0">
            <w:pPr>
              <w:adjustRightInd w:val="0"/>
              <w:snapToGrid w:val="0"/>
              <w:rPr>
                <w:rFonts w:hint="eastAsia" w:ascii="宋体" w:hAnsi="宋体" w:cs="宋体"/>
                <w:color w:val="auto"/>
                <w:sz w:val="20"/>
                <w:szCs w:val="21"/>
                <w:highlight w:val="none"/>
              </w:rPr>
            </w:pPr>
            <w:r>
              <w:rPr>
                <w:rFonts w:hint="eastAsia" w:hAnsi="宋体"/>
                <w:color w:val="auto"/>
                <w:sz w:val="20"/>
                <w:szCs w:val="21"/>
                <w:highlight w:val="none"/>
              </w:rPr>
              <w:t>计划进度安排及保证措施安排基本合理、可行，得3-4分；</w:t>
            </w:r>
          </w:p>
        </w:tc>
      </w:tr>
      <w:tr w14:paraId="23C5E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continue"/>
            <w:noWrap w:val="0"/>
            <w:vAlign w:val="center"/>
          </w:tcPr>
          <w:p w14:paraId="69474049">
            <w:pPr>
              <w:autoSpaceDE w:val="0"/>
              <w:autoSpaceDN w:val="0"/>
              <w:rPr>
                <w:rFonts w:hint="eastAsia" w:ascii="宋体" w:hAnsi="宋体" w:cs="宋体"/>
                <w:color w:val="auto"/>
                <w:kern w:val="0"/>
                <w:szCs w:val="21"/>
                <w:highlight w:val="none"/>
              </w:rPr>
            </w:pPr>
          </w:p>
        </w:tc>
        <w:tc>
          <w:tcPr>
            <w:tcW w:w="426" w:type="pct"/>
            <w:vMerge w:val="continue"/>
            <w:noWrap w:val="0"/>
            <w:vAlign w:val="center"/>
          </w:tcPr>
          <w:p w14:paraId="5DBF95B5">
            <w:pPr>
              <w:autoSpaceDE w:val="0"/>
              <w:autoSpaceDN w:val="0"/>
              <w:rPr>
                <w:rFonts w:hint="eastAsia" w:ascii="宋体" w:hAnsi="宋体" w:cs="宋体"/>
                <w:color w:val="auto"/>
                <w:kern w:val="0"/>
                <w:szCs w:val="21"/>
                <w:highlight w:val="none"/>
              </w:rPr>
            </w:pPr>
          </w:p>
        </w:tc>
        <w:tc>
          <w:tcPr>
            <w:tcW w:w="421" w:type="pct"/>
            <w:vMerge w:val="continue"/>
            <w:noWrap w:val="0"/>
            <w:vAlign w:val="center"/>
          </w:tcPr>
          <w:p w14:paraId="43E685F9">
            <w:pPr>
              <w:autoSpaceDE w:val="0"/>
              <w:autoSpaceDN w:val="0"/>
              <w:rPr>
                <w:rFonts w:hint="eastAsia" w:ascii="宋体" w:hAnsi="宋体" w:cs="宋体"/>
                <w:color w:val="auto"/>
                <w:kern w:val="0"/>
                <w:szCs w:val="21"/>
                <w:highlight w:val="none"/>
              </w:rPr>
            </w:pPr>
          </w:p>
        </w:tc>
        <w:tc>
          <w:tcPr>
            <w:tcW w:w="1494" w:type="dxa"/>
            <w:vMerge w:val="continue"/>
            <w:tcBorders>
              <w:right w:val="single" w:color="auto" w:sz="4" w:space="0"/>
            </w:tcBorders>
            <w:noWrap w:val="0"/>
            <w:vAlign w:val="top"/>
          </w:tcPr>
          <w:p w14:paraId="141C05C5">
            <w:pPr>
              <w:pStyle w:val="4"/>
              <w:jc w:val="center"/>
              <w:rPr>
                <w:rFonts w:hint="eastAsia" w:hAnsi="宋体" w:cs="宋体"/>
                <w:color w:val="auto"/>
                <w:kern w:val="0"/>
                <w:highlight w:val="none"/>
              </w:rPr>
            </w:pPr>
          </w:p>
        </w:tc>
        <w:tc>
          <w:tcPr>
            <w:tcW w:w="694" w:type="dxa"/>
            <w:vMerge w:val="continue"/>
            <w:tcBorders>
              <w:left w:val="single" w:color="auto" w:sz="4" w:space="0"/>
              <w:right w:val="single" w:color="auto" w:sz="4" w:space="0"/>
            </w:tcBorders>
            <w:noWrap w:val="0"/>
            <w:vAlign w:val="center"/>
          </w:tcPr>
          <w:p w14:paraId="7CF376B1">
            <w:pPr>
              <w:autoSpaceDE w:val="0"/>
              <w:autoSpaceDN w:val="0"/>
              <w:jc w:val="center"/>
              <w:rPr>
                <w:rFonts w:hint="eastAsia" w:ascii="宋体" w:hAnsi="宋体" w:cs="宋体"/>
                <w:color w:val="auto"/>
                <w:kern w:val="0"/>
                <w:szCs w:val="21"/>
                <w:highlight w:val="none"/>
              </w:rPr>
            </w:pPr>
          </w:p>
        </w:tc>
        <w:tc>
          <w:tcPr>
            <w:tcW w:w="4925" w:type="dxa"/>
            <w:tcBorders>
              <w:top w:val="single" w:color="auto" w:sz="4" w:space="0"/>
              <w:left w:val="single" w:color="auto" w:sz="4" w:space="0"/>
              <w:bottom w:val="single" w:color="auto" w:sz="4" w:space="0"/>
            </w:tcBorders>
            <w:noWrap w:val="0"/>
            <w:vAlign w:val="center"/>
          </w:tcPr>
          <w:p w14:paraId="69DBE7DC">
            <w:pPr>
              <w:adjustRightInd w:val="0"/>
              <w:snapToGrid w:val="0"/>
              <w:rPr>
                <w:rFonts w:hint="eastAsia" w:ascii="宋体" w:hAnsi="宋体" w:cs="宋体"/>
                <w:color w:val="auto"/>
                <w:sz w:val="20"/>
                <w:szCs w:val="21"/>
                <w:highlight w:val="none"/>
              </w:rPr>
            </w:pPr>
            <w:r>
              <w:rPr>
                <w:rFonts w:hint="eastAsia" w:hAnsi="宋体"/>
                <w:color w:val="auto"/>
                <w:sz w:val="20"/>
                <w:szCs w:val="21"/>
                <w:highlight w:val="none"/>
              </w:rPr>
              <w:t>计划进度安排及保证措施安排合理、科学、可行，得4-5分。</w:t>
            </w:r>
          </w:p>
        </w:tc>
      </w:tr>
      <w:tr w14:paraId="2F1D9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continue"/>
            <w:noWrap w:val="0"/>
            <w:vAlign w:val="center"/>
          </w:tcPr>
          <w:p w14:paraId="6CD27D9F">
            <w:pPr>
              <w:autoSpaceDE w:val="0"/>
              <w:autoSpaceDN w:val="0"/>
              <w:rPr>
                <w:rFonts w:hint="eastAsia" w:ascii="宋体" w:hAnsi="宋体" w:cs="宋体"/>
                <w:color w:val="auto"/>
                <w:kern w:val="0"/>
                <w:szCs w:val="21"/>
                <w:highlight w:val="none"/>
              </w:rPr>
            </w:pPr>
          </w:p>
        </w:tc>
        <w:tc>
          <w:tcPr>
            <w:tcW w:w="426" w:type="pct"/>
            <w:vMerge w:val="continue"/>
            <w:noWrap w:val="0"/>
            <w:vAlign w:val="center"/>
          </w:tcPr>
          <w:p w14:paraId="0F921E36">
            <w:pPr>
              <w:autoSpaceDE w:val="0"/>
              <w:autoSpaceDN w:val="0"/>
              <w:rPr>
                <w:rFonts w:hint="eastAsia" w:ascii="宋体" w:hAnsi="宋体" w:cs="宋体"/>
                <w:color w:val="auto"/>
                <w:kern w:val="0"/>
                <w:szCs w:val="21"/>
                <w:highlight w:val="none"/>
              </w:rPr>
            </w:pPr>
          </w:p>
        </w:tc>
        <w:tc>
          <w:tcPr>
            <w:tcW w:w="421" w:type="pct"/>
            <w:vMerge w:val="continue"/>
            <w:noWrap w:val="0"/>
            <w:vAlign w:val="center"/>
          </w:tcPr>
          <w:p w14:paraId="65673674">
            <w:pPr>
              <w:autoSpaceDE w:val="0"/>
              <w:autoSpaceDN w:val="0"/>
              <w:rPr>
                <w:rFonts w:hint="eastAsia" w:ascii="宋体" w:hAnsi="宋体" w:cs="宋体"/>
                <w:color w:val="auto"/>
                <w:kern w:val="0"/>
                <w:szCs w:val="21"/>
                <w:highlight w:val="none"/>
              </w:rPr>
            </w:pPr>
          </w:p>
        </w:tc>
        <w:tc>
          <w:tcPr>
            <w:tcW w:w="1494" w:type="dxa"/>
            <w:vMerge w:val="restart"/>
            <w:tcBorders>
              <w:right w:val="single" w:color="auto" w:sz="4" w:space="0"/>
            </w:tcBorders>
            <w:noWrap w:val="0"/>
            <w:vAlign w:val="center"/>
          </w:tcPr>
          <w:p w14:paraId="4379A8C2">
            <w:pPr>
              <w:pStyle w:val="4"/>
              <w:spacing w:line="160" w:lineRule="atLeast"/>
              <w:jc w:val="center"/>
              <w:rPr>
                <w:rFonts w:hAnsi="宋体"/>
                <w:color w:val="auto"/>
                <w:highlight w:val="none"/>
              </w:rPr>
            </w:pPr>
            <w:r>
              <w:rPr>
                <w:rFonts w:hint="eastAsia" w:hAnsi="宋体"/>
                <w:color w:val="auto"/>
                <w:highlight w:val="none"/>
              </w:rPr>
              <w:t>系统搭建质量和安全及其他保障措施</w:t>
            </w:r>
          </w:p>
        </w:tc>
        <w:tc>
          <w:tcPr>
            <w:tcW w:w="694" w:type="dxa"/>
            <w:vMerge w:val="restart"/>
            <w:tcBorders>
              <w:left w:val="single" w:color="auto" w:sz="4" w:space="0"/>
              <w:right w:val="single" w:color="auto" w:sz="4" w:space="0"/>
            </w:tcBorders>
            <w:noWrap w:val="0"/>
            <w:vAlign w:val="center"/>
          </w:tcPr>
          <w:p w14:paraId="35AA589D">
            <w:pPr>
              <w:pStyle w:val="4"/>
              <w:spacing w:line="160" w:lineRule="atLeast"/>
              <w:jc w:val="center"/>
              <w:rPr>
                <w:rFonts w:hAnsi="宋体"/>
                <w:color w:val="auto"/>
                <w:highlight w:val="none"/>
              </w:rPr>
            </w:pPr>
            <w:r>
              <w:rPr>
                <w:rFonts w:hint="eastAsia" w:hAnsi="宋体"/>
                <w:color w:val="auto"/>
                <w:highlight w:val="none"/>
              </w:rPr>
              <w:t>5分</w:t>
            </w:r>
          </w:p>
        </w:tc>
        <w:tc>
          <w:tcPr>
            <w:tcW w:w="4925" w:type="dxa"/>
            <w:tcBorders>
              <w:top w:val="single" w:color="auto" w:sz="4" w:space="0"/>
              <w:left w:val="single" w:color="auto" w:sz="4" w:space="0"/>
              <w:bottom w:val="single" w:color="auto" w:sz="4" w:space="0"/>
            </w:tcBorders>
            <w:noWrap w:val="0"/>
            <w:vAlign w:val="center"/>
          </w:tcPr>
          <w:p w14:paraId="58D1808C">
            <w:pPr>
              <w:pStyle w:val="4"/>
              <w:spacing w:line="300" w:lineRule="exact"/>
              <w:jc w:val="left"/>
              <w:rPr>
                <w:rFonts w:hAnsi="宋体"/>
                <w:color w:val="auto"/>
                <w:sz w:val="20"/>
                <w:highlight w:val="none"/>
              </w:rPr>
            </w:pPr>
            <w:r>
              <w:rPr>
                <w:rFonts w:hint="eastAsia" w:hAnsi="宋体"/>
                <w:color w:val="auto"/>
                <w:sz w:val="20"/>
                <w:highlight w:val="none"/>
              </w:rPr>
              <w:t>方案一般，措施基本全面，可实施性一般，得3分；</w:t>
            </w:r>
            <w:r>
              <w:rPr>
                <w:rFonts w:hAnsi="宋体"/>
                <w:color w:val="auto"/>
                <w:sz w:val="20"/>
                <w:highlight w:val="none"/>
              </w:rPr>
              <w:t xml:space="preserve"> </w:t>
            </w:r>
          </w:p>
        </w:tc>
      </w:tr>
      <w:tr w14:paraId="569D6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continue"/>
            <w:noWrap w:val="0"/>
            <w:vAlign w:val="center"/>
          </w:tcPr>
          <w:p w14:paraId="23995324">
            <w:pPr>
              <w:autoSpaceDE w:val="0"/>
              <w:autoSpaceDN w:val="0"/>
              <w:rPr>
                <w:rFonts w:hint="eastAsia" w:ascii="宋体" w:hAnsi="宋体" w:cs="宋体"/>
                <w:color w:val="auto"/>
                <w:kern w:val="0"/>
                <w:szCs w:val="21"/>
                <w:highlight w:val="none"/>
              </w:rPr>
            </w:pPr>
          </w:p>
        </w:tc>
        <w:tc>
          <w:tcPr>
            <w:tcW w:w="426" w:type="pct"/>
            <w:vMerge w:val="continue"/>
            <w:noWrap w:val="0"/>
            <w:vAlign w:val="center"/>
          </w:tcPr>
          <w:p w14:paraId="735E7DD9">
            <w:pPr>
              <w:autoSpaceDE w:val="0"/>
              <w:autoSpaceDN w:val="0"/>
              <w:rPr>
                <w:rFonts w:hint="eastAsia" w:ascii="宋体" w:hAnsi="宋体" w:cs="宋体"/>
                <w:color w:val="auto"/>
                <w:kern w:val="0"/>
                <w:szCs w:val="21"/>
                <w:highlight w:val="none"/>
              </w:rPr>
            </w:pPr>
          </w:p>
        </w:tc>
        <w:tc>
          <w:tcPr>
            <w:tcW w:w="421" w:type="pct"/>
            <w:vMerge w:val="continue"/>
            <w:noWrap w:val="0"/>
            <w:vAlign w:val="center"/>
          </w:tcPr>
          <w:p w14:paraId="4BB95130">
            <w:pPr>
              <w:autoSpaceDE w:val="0"/>
              <w:autoSpaceDN w:val="0"/>
              <w:rPr>
                <w:rFonts w:hint="eastAsia" w:ascii="宋体" w:hAnsi="宋体" w:cs="宋体"/>
                <w:color w:val="auto"/>
                <w:kern w:val="0"/>
                <w:szCs w:val="21"/>
                <w:highlight w:val="none"/>
              </w:rPr>
            </w:pPr>
          </w:p>
        </w:tc>
        <w:tc>
          <w:tcPr>
            <w:tcW w:w="1494" w:type="dxa"/>
            <w:vMerge w:val="continue"/>
            <w:tcBorders>
              <w:right w:val="single" w:color="auto" w:sz="4" w:space="0"/>
            </w:tcBorders>
            <w:noWrap w:val="0"/>
            <w:vAlign w:val="top"/>
          </w:tcPr>
          <w:p w14:paraId="0854AB14">
            <w:pPr>
              <w:pStyle w:val="4"/>
              <w:jc w:val="center"/>
              <w:rPr>
                <w:rFonts w:hint="eastAsia" w:hAnsi="宋体" w:cs="宋体"/>
                <w:color w:val="auto"/>
                <w:kern w:val="0"/>
                <w:highlight w:val="none"/>
              </w:rPr>
            </w:pPr>
          </w:p>
        </w:tc>
        <w:tc>
          <w:tcPr>
            <w:tcW w:w="694" w:type="dxa"/>
            <w:vMerge w:val="continue"/>
            <w:tcBorders>
              <w:left w:val="single" w:color="auto" w:sz="4" w:space="0"/>
              <w:right w:val="single" w:color="auto" w:sz="4" w:space="0"/>
            </w:tcBorders>
            <w:noWrap w:val="0"/>
            <w:vAlign w:val="center"/>
          </w:tcPr>
          <w:p w14:paraId="3EF70BD6">
            <w:pPr>
              <w:autoSpaceDE w:val="0"/>
              <w:autoSpaceDN w:val="0"/>
              <w:jc w:val="center"/>
              <w:rPr>
                <w:rFonts w:hint="eastAsia" w:ascii="宋体" w:hAnsi="宋体" w:cs="宋体"/>
                <w:color w:val="auto"/>
                <w:kern w:val="0"/>
                <w:szCs w:val="21"/>
                <w:highlight w:val="none"/>
              </w:rPr>
            </w:pPr>
          </w:p>
        </w:tc>
        <w:tc>
          <w:tcPr>
            <w:tcW w:w="4925" w:type="dxa"/>
            <w:tcBorders>
              <w:top w:val="single" w:color="auto" w:sz="4" w:space="0"/>
              <w:left w:val="single" w:color="auto" w:sz="4" w:space="0"/>
              <w:bottom w:val="single" w:color="auto" w:sz="4" w:space="0"/>
            </w:tcBorders>
            <w:noWrap w:val="0"/>
            <w:vAlign w:val="center"/>
          </w:tcPr>
          <w:p w14:paraId="72CD2602">
            <w:pPr>
              <w:adjustRightInd w:val="0"/>
              <w:snapToGrid w:val="0"/>
              <w:rPr>
                <w:rFonts w:hint="eastAsia" w:ascii="宋体" w:hAnsi="宋体" w:cs="宋体"/>
                <w:color w:val="auto"/>
                <w:sz w:val="20"/>
                <w:szCs w:val="21"/>
                <w:highlight w:val="none"/>
              </w:rPr>
            </w:pPr>
            <w:r>
              <w:rPr>
                <w:rFonts w:hint="eastAsia" w:hAnsi="宋体"/>
                <w:color w:val="auto"/>
                <w:sz w:val="20"/>
                <w:szCs w:val="21"/>
                <w:highlight w:val="none"/>
              </w:rPr>
              <w:t>方案较全面，措施全面合理，可实施性较好，得3-4分；</w:t>
            </w:r>
          </w:p>
        </w:tc>
      </w:tr>
      <w:tr w14:paraId="62B7D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continue"/>
            <w:noWrap w:val="0"/>
            <w:vAlign w:val="center"/>
          </w:tcPr>
          <w:p w14:paraId="0C72C1E4">
            <w:pPr>
              <w:autoSpaceDE w:val="0"/>
              <w:autoSpaceDN w:val="0"/>
              <w:rPr>
                <w:rFonts w:hint="eastAsia" w:ascii="宋体" w:hAnsi="宋体" w:cs="宋体"/>
                <w:color w:val="auto"/>
                <w:kern w:val="0"/>
                <w:szCs w:val="21"/>
                <w:highlight w:val="none"/>
              </w:rPr>
            </w:pPr>
          </w:p>
        </w:tc>
        <w:tc>
          <w:tcPr>
            <w:tcW w:w="426" w:type="pct"/>
            <w:vMerge w:val="continue"/>
            <w:noWrap w:val="0"/>
            <w:vAlign w:val="center"/>
          </w:tcPr>
          <w:p w14:paraId="0898926C">
            <w:pPr>
              <w:autoSpaceDE w:val="0"/>
              <w:autoSpaceDN w:val="0"/>
              <w:rPr>
                <w:rFonts w:hint="eastAsia" w:ascii="宋体" w:hAnsi="宋体" w:cs="宋体"/>
                <w:color w:val="auto"/>
                <w:kern w:val="0"/>
                <w:szCs w:val="21"/>
                <w:highlight w:val="none"/>
              </w:rPr>
            </w:pPr>
          </w:p>
        </w:tc>
        <w:tc>
          <w:tcPr>
            <w:tcW w:w="421" w:type="pct"/>
            <w:vMerge w:val="continue"/>
            <w:noWrap w:val="0"/>
            <w:vAlign w:val="center"/>
          </w:tcPr>
          <w:p w14:paraId="5AB30E7D">
            <w:pPr>
              <w:autoSpaceDE w:val="0"/>
              <w:autoSpaceDN w:val="0"/>
              <w:rPr>
                <w:rFonts w:hint="eastAsia" w:ascii="宋体" w:hAnsi="宋体" w:cs="宋体"/>
                <w:color w:val="auto"/>
                <w:kern w:val="0"/>
                <w:szCs w:val="21"/>
                <w:highlight w:val="none"/>
              </w:rPr>
            </w:pPr>
          </w:p>
        </w:tc>
        <w:tc>
          <w:tcPr>
            <w:tcW w:w="1494" w:type="dxa"/>
            <w:vMerge w:val="continue"/>
            <w:tcBorders>
              <w:right w:val="single" w:color="auto" w:sz="4" w:space="0"/>
            </w:tcBorders>
            <w:noWrap w:val="0"/>
            <w:vAlign w:val="top"/>
          </w:tcPr>
          <w:p w14:paraId="54304B1C">
            <w:pPr>
              <w:pStyle w:val="4"/>
              <w:jc w:val="center"/>
              <w:rPr>
                <w:rFonts w:hint="eastAsia" w:hAnsi="宋体" w:cs="宋体"/>
                <w:color w:val="auto"/>
                <w:kern w:val="0"/>
                <w:highlight w:val="none"/>
              </w:rPr>
            </w:pPr>
          </w:p>
        </w:tc>
        <w:tc>
          <w:tcPr>
            <w:tcW w:w="694" w:type="dxa"/>
            <w:vMerge w:val="continue"/>
            <w:tcBorders>
              <w:left w:val="single" w:color="auto" w:sz="4" w:space="0"/>
              <w:right w:val="single" w:color="auto" w:sz="4" w:space="0"/>
            </w:tcBorders>
            <w:noWrap w:val="0"/>
            <w:vAlign w:val="center"/>
          </w:tcPr>
          <w:p w14:paraId="41D08333">
            <w:pPr>
              <w:autoSpaceDE w:val="0"/>
              <w:autoSpaceDN w:val="0"/>
              <w:jc w:val="center"/>
              <w:rPr>
                <w:rFonts w:hint="eastAsia" w:ascii="宋体" w:hAnsi="宋体" w:cs="宋体"/>
                <w:color w:val="auto"/>
                <w:kern w:val="0"/>
                <w:szCs w:val="21"/>
                <w:highlight w:val="none"/>
              </w:rPr>
            </w:pPr>
          </w:p>
        </w:tc>
        <w:tc>
          <w:tcPr>
            <w:tcW w:w="4925" w:type="dxa"/>
            <w:tcBorders>
              <w:top w:val="single" w:color="auto" w:sz="4" w:space="0"/>
              <w:left w:val="single" w:color="auto" w:sz="4" w:space="0"/>
              <w:bottom w:val="single" w:color="auto" w:sz="4" w:space="0"/>
            </w:tcBorders>
            <w:noWrap w:val="0"/>
            <w:vAlign w:val="center"/>
          </w:tcPr>
          <w:p w14:paraId="5DE87FF9">
            <w:pPr>
              <w:adjustRightInd w:val="0"/>
              <w:snapToGrid w:val="0"/>
              <w:rPr>
                <w:rFonts w:hint="eastAsia" w:ascii="宋体" w:hAnsi="宋体" w:cs="宋体"/>
                <w:color w:val="auto"/>
                <w:sz w:val="20"/>
                <w:szCs w:val="21"/>
                <w:highlight w:val="none"/>
              </w:rPr>
            </w:pPr>
            <w:r>
              <w:rPr>
                <w:rFonts w:hint="eastAsia" w:hAnsi="宋体"/>
                <w:color w:val="auto"/>
                <w:sz w:val="20"/>
                <w:szCs w:val="21"/>
                <w:highlight w:val="none"/>
              </w:rPr>
              <w:t>方案详尽，措施具体全面合理，可实施性强，得4-5分。</w:t>
            </w:r>
          </w:p>
        </w:tc>
      </w:tr>
      <w:tr w14:paraId="2F530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continue"/>
            <w:noWrap w:val="0"/>
            <w:vAlign w:val="center"/>
          </w:tcPr>
          <w:p w14:paraId="32A5E806">
            <w:pPr>
              <w:autoSpaceDE w:val="0"/>
              <w:autoSpaceDN w:val="0"/>
              <w:rPr>
                <w:rFonts w:hint="eastAsia" w:ascii="宋体" w:hAnsi="宋体" w:cs="宋体"/>
                <w:color w:val="auto"/>
                <w:kern w:val="0"/>
                <w:szCs w:val="21"/>
                <w:highlight w:val="none"/>
              </w:rPr>
            </w:pPr>
          </w:p>
        </w:tc>
        <w:tc>
          <w:tcPr>
            <w:tcW w:w="426" w:type="pct"/>
            <w:vMerge w:val="continue"/>
            <w:noWrap w:val="0"/>
            <w:vAlign w:val="center"/>
          </w:tcPr>
          <w:p w14:paraId="61346BCE">
            <w:pPr>
              <w:autoSpaceDE w:val="0"/>
              <w:autoSpaceDN w:val="0"/>
              <w:rPr>
                <w:rFonts w:hint="eastAsia" w:ascii="宋体" w:hAnsi="宋体" w:cs="宋体"/>
                <w:color w:val="auto"/>
                <w:kern w:val="0"/>
                <w:szCs w:val="21"/>
                <w:highlight w:val="none"/>
              </w:rPr>
            </w:pPr>
          </w:p>
        </w:tc>
        <w:tc>
          <w:tcPr>
            <w:tcW w:w="421" w:type="pct"/>
            <w:vMerge w:val="continue"/>
            <w:noWrap w:val="0"/>
            <w:vAlign w:val="center"/>
          </w:tcPr>
          <w:p w14:paraId="543314E4">
            <w:pPr>
              <w:autoSpaceDE w:val="0"/>
              <w:autoSpaceDN w:val="0"/>
              <w:rPr>
                <w:rFonts w:hint="eastAsia" w:ascii="宋体" w:hAnsi="宋体" w:cs="宋体"/>
                <w:color w:val="auto"/>
                <w:kern w:val="0"/>
                <w:szCs w:val="21"/>
                <w:highlight w:val="none"/>
              </w:rPr>
            </w:pPr>
          </w:p>
        </w:tc>
        <w:tc>
          <w:tcPr>
            <w:tcW w:w="1494" w:type="dxa"/>
            <w:vMerge w:val="restart"/>
            <w:tcBorders>
              <w:right w:val="single" w:color="auto" w:sz="4" w:space="0"/>
            </w:tcBorders>
            <w:noWrap w:val="0"/>
            <w:vAlign w:val="center"/>
          </w:tcPr>
          <w:p w14:paraId="624411DF">
            <w:pPr>
              <w:pStyle w:val="4"/>
              <w:spacing w:line="160" w:lineRule="atLeast"/>
              <w:jc w:val="center"/>
              <w:rPr>
                <w:rFonts w:hAnsi="宋体"/>
                <w:color w:val="auto"/>
                <w:highlight w:val="none"/>
              </w:rPr>
            </w:pPr>
            <w:r>
              <w:rPr>
                <w:rFonts w:hint="eastAsia" w:hAnsi="宋体"/>
                <w:color w:val="auto"/>
                <w:highlight w:val="none"/>
              </w:rPr>
              <w:t>系统预警方式及采取的预警预案</w:t>
            </w:r>
          </w:p>
        </w:tc>
        <w:tc>
          <w:tcPr>
            <w:tcW w:w="694" w:type="dxa"/>
            <w:vMerge w:val="restart"/>
            <w:tcBorders>
              <w:left w:val="single" w:color="auto" w:sz="4" w:space="0"/>
              <w:right w:val="single" w:color="auto" w:sz="4" w:space="0"/>
            </w:tcBorders>
            <w:noWrap w:val="0"/>
            <w:vAlign w:val="center"/>
          </w:tcPr>
          <w:p w14:paraId="6AEEEDC6">
            <w:pPr>
              <w:pStyle w:val="4"/>
              <w:spacing w:line="160" w:lineRule="atLeast"/>
              <w:jc w:val="center"/>
              <w:rPr>
                <w:rFonts w:hAnsi="宋体"/>
                <w:color w:val="auto"/>
                <w:highlight w:val="none"/>
              </w:rPr>
            </w:pPr>
            <w:r>
              <w:rPr>
                <w:rFonts w:hAnsi="宋体"/>
                <w:color w:val="auto"/>
                <w:highlight w:val="none"/>
              </w:rPr>
              <w:t>5</w:t>
            </w:r>
            <w:r>
              <w:rPr>
                <w:rFonts w:hint="eastAsia" w:hAnsi="宋体"/>
                <w:color w:val="auto"/>
                <w:highlight w:val="none"/>
              </w:rPr>
              <w:t>分</w:t>
            </w:r>
          </w:p>
        </w:tc>
        <w:tc>
          <w:tcPr>
            <w:tcW w:w="4925" w:type="dxa"/>
            <w:tcBorders>
              <w:top w:val="single" w:color="auto" w:sz="4" w:space="0"/>
              <w:left w:val="single" w:color="auto" w:sz="4" w:space="0"/>
              <w:bottom w:val="single" w:color="auto" w:sz="4" w:space="0"/>
            </w:tcBorders>
            <w:noWrap w:val="0"/>
            <w:vAlign w:val="center"/>
          </w:tcPr>
          <w:p w14:paraId="1F886D5C">
            <w:pPr>
              <w:pStyle w:val="4"/>
              <w:spacing w:line="300" w:lineRule="exact"/>
              <w:jc w:val="left"/>
              <w:rPr>
                <w:rFonts w:hAnsi="宋体"/>
                <w:color w:val="auto"/>
                <w:sz w:val="20"/>
                <w:highlight w:val="none"/>
              </w:rPr>
            </w:pPr>
            <w:r>
              <w:rPr>
                <w:rFonts w:hint="eastAsia" w:hAnsi="宋体"/>
                <w:color w:val="auto"/>
                <w:sz w:val="20"/>
                <w:highlight w:val="none"/>
              </w:rPr>
              <w:t>系统预警方式及预案内容一般，得</w:t>
            </w:r>
            <w:r>
              <w:rPr>
                <w:rFonts w:hAnsi="宋体"/>
                <w:color w:val="auto"/>
                <w:sz w:val="20"/>
                <w:highlight w:val="none"/>
              </w:rPr>
              <w:t>3</w:t>
            </w:r>
            <w:r>
              <w:rPr>
                <w:rFonts w:hint="eastAsia" w:hAnsi="宋体"/>
                <w:color w:val="auto"/>
                <w:sz w:val="20"/>
                <w:highlight w:val="none"/>
              </w:rPr>
              <w:t>分；</w:t>
            </w:r>
          </w:p>
        </w:tc>
      </w:tr>
      <w:tr w14:paraId="6FEAF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continue"/>
            <w:noWrap w:val="0"/>
            <w:vAlign w:val="center"/>
          </w:tcPr>
          <w:p w14:paraId="15AAC7C0">
            <w:pPr>
              <w:autoSpaceDE w:val="0"/>
              <w:autoSpaceDN w:val="0"/>
              <w:rPr>
                <w:rFonts w:hint="eastAsia" w:ascii="宋体" w:hAnsi="宋体" w:cs="宋体"/>
                <w:color w:val="auto"/>
                <w:kern w:val="0"/>
                <w:szCs w:val="21"/>
                <w:highlight w:val="none"/>
              </w:rPr>
            </w:pPr>
          </w:p>
        </w:tc>
        <w:tc>
          <w:tcPr>
            <w:tcW w:w="426" w:type="pct"/>
            <w:vMerge w:val="continue"/>
            <w:noWrap w:val="0"/>
            <w:vAlign w:val="center"/>
          </w:tcPr>
          <w:p w14:paraId="614D3A21">
            <w:pPr>
              <w:autoSpaceDE w:val="0"/>
              <w:autoSpaceDN w:val="0"/>
              <w:rPr>
                <w:rFonts w:hint="eastAsia" w:ascii="宋体" w:hAnsi="宋体" w:cs="宋体"/>
                <w:color w:val="auto"/>
                <w:kern w:val="0"/>
                <w:szCs w:val="21"/>
                <w:highlight w:val="none"/>
              </w:rPr>
            </w:pPr>
          </w:p>
        </w:tc>
        <w:tc>
          <w:tcPr>
            <w:tcW w:w="421" w:type="pct"/>
            <w:vMerge w:val="continue"/>
            <w:noWrap w:val="0"/>
            <w:vAlign w:val="center"/>
          </w:tcPr>
          <w:p w14:paraId="34019C12">
            <w:pPr>
              <w:autoSpaceDE w:val="0"/>
              <w:autoSpaceDN w:val="0"/>
              <w:rPr>
                <w:rFonts w:hint="eastAsia" w:ascii="宋体" w:hAnsi="宋体" w:cs="宋体"/>
                <w:color w:val="auto"/>
                <w:kern w:val="0"/>
                <w:szCs w:val="21"/>
                <w:highlight w:val="none"/>
              </w:rPr>
            </w:pPr>
          </w:p>
        </w:tc>
        <w:tc>
          <w:tcPr>
            <w:tcW w:w="1494" w:type="dxa"/>
            <w:vMerge w:val="continue"/>
            <w:tcBorders>
              <w:right w:val="single" w:color="auto" w:sz="4" w:space="0"/>
            </w:tcBorders>
            <w:noWrap w:val="0"/>
            <w:vAlign w:val="center"/>
          </w:tcPr>
          <w:p w14:paraId="1C850FE8">
            <w:pPr>
              <w:pStyle w:val="4"/>
              <w:jc w:val="center"/>
              <w:rPr>
                <w:rFonts w:hint="eastAsia" w:hAnsi="宋体" w:cs="宋体"/>
                <w:color w:val="auto"/>
                <w:kern w:val="0"/>
                <w:highlight w:val="none"/>
              </w:rPr>
            </w:pPr>
          </w:p>
        </w:tc>
        <w:tc>
          <w:tcPr>
            <w:tcW w:w="694" w:type="dxa"/>
            <w:vMerge w:val="continue"/>
            <w:tcBorders>
              <w:left w:val="single" w:color="auto" w:sz="4" w:space="0"/>
              <w:right w:val="single" w:color="auto" w:sz="4" w:space="0"/>
            </w:tcBorders>
            <w:noWrap w:val="0"/>
            <w:vAlign w:val="center"/>
          </w:tcPr>
          <w:p w14:paraId="34687741">
            <w:pPr>
              <w:autoSpaceDE w:val="0"/>
              <w:autoSpaceDN w:val="0"/>
              <w:jc w:val="center"/>
              <w:rPr>
                <w:rFonts w:hint="eastAsia" w:ascii="宋体" w:hAnsi="宋体" w:cs="宋体"/>
                <w:color w:val="auto"/>
                <w:kern w:val="0"/>
                <w:szCs w:val="21"/>
                <w:highlight w:val="none"/>
              </w:rPr>
            </w:pPr>
          </w:p>
        </w:tc>
        <w:tc>
          <w:tcPr>
            <w:tcW w:w="4925" w:type="dxa"/>
            <w:tcBorders>
              <w:top w:val="single" w:color="auto" w:sz="4" w:space="0"/>
              <w:left w:val="single" w:color="auto" w:sz="4" w:space="0"/>
              <w:bottom w:val="single" w:color="auto" w:sz="4" w:space="0"/>
            </w:tcBorders>
            <w:noWrap w:val="0"/>
            <w:vAlign w:val="center"/>
          </w:tcPr>
          <w:p w14:paraId="68D8CEAB">
            <w:pPr>
              <w:adjustRightInd w:val="0"/>
              <w:snapToGrid w:val="0"/>
              <w:rPr>
                <w:rFonts w:hint="eastAsia" w:ascii="宋体" w:hAnsi="宋体" w:cs="宋体"/>
                <w:color w:val="auto"/>
                <w:sz w:val="20"/>
                <w:szCs w:val="21"/>
                <w:highlight w:val="none"/>
              </w:rPr>
            </w:pPr>
            <w:r>
              <w:rPr>
                <w:rFonts w:hint="eastAsia" w:hAnsi="宋体"/>
                <w:color w:val="auto"/>
                <w:sz w:val="20"/>
                <w:szCs w:val="21"/>
                <w:highlight w:val="none"/>
              </w:rPr>
              <w:t>系统预警方式及预案内容基本全面、可行，得</w:t>
            </w:r>
            <w:r>
              <w:rPr>
                <w:rFonts w:hAnsi="宋体"/>
                <w:color w:val="auto"/>
                <w:sz w:val="20"/>
                <w:szCs w:val="21"/>
                <w:highlight w:val="none"/>
              </w:rPr>
              <w:t>3</w:t>
            </w:r>
            <w:r>
              <w:rPr>
                <w:rFonts w:hint="eastAsia" w:hAnsi="宋体"/>
                <w:color w:val="auto"/>
                <w:sz w:val="20"/>
                <w:szCs w:val="21"/>
                <w:highlight w:val="none"/>
              </w:rPr>
              <w:t>-</w:t>
            </w:r>
            <w:r>
              <w:rPr>
                <w:rFonts w:hAnsi="宋体"/>
                <w:color w:val="auto"/>
                <w:sz w:val="20"/>
                <w:szCs w:val="21"/>
                <w:highlight w:val="none"/>
              </w:rPr>
              <w:t>4</w:t>
            </w:r>
            <w:r>
              <w:rPr>
                <w:rFonts w:hint="eastAsia" w:hAnsi="宋体"/>
                <w:color w:val="auto"/>
                <w:sz w:val="20"/>
                <w:szCs w:val="21"/>
                <w:highlight w:val="none"/>
              </w:rPr>
              <w:t>分；</w:t>
            </w:r>
          </w:p>
        </w:tc>
      </w:tr>
      <w:tr w14:paraId="73405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continue"/>
            <w:noWrap w:val="0"/>
            <w:vAlign w:val="center"/>
          </w:tcPr>
          <w:p w14:paraId="18EB4F11">
            <w:pPr>
              <w:autoSpaceDE w:val="0"/>
              <w:autoSpaceDN w:val="0"/>
              <w:rPr>
                <w:rFonts w:hint="eastAsia" w:ascii="宋体" w:hAnsi="宋体" w:cs="宋体"/>
                <w:color w:val="auto"/>
                <w:kern w:val="0"/>
                <w:szCs w:val="21"/>
                <w:highlight w:val="none"/>
              </w:rPr>
            </w:pPr>
          </w:p>
        </w:tc>
        <w:tc>
          <w:tcPr>
            <w:tcW w:w="426" w:type="pct"/>
            <w:vMerge w:val="continue"/>
            <w:noWrap w:val="0"/>
            <w:vAlign w:val="center"/>
          </w:tcPr>
          <w:p w14:paraId="3B5AD4A9">
            <w:pPr>
              <w:autoSpaceDE w:val="0"/>
              <w:autoSpaceDN w:val="0"/>
              <w:rPr>
                <w:rFonts w:hint="eastAsia" w:ascii="宋体" w:hAnsi="宋体" w:cs="宋体"/>
                <w:color w:val="auto"/>
                <w:kern w:val="0"/>
                <w:szCs w:val="21"/>
                <w:highlight w:val="none"/>
              </w:rPr>
            </w:pPr>
          </w:p>
        </w:tc>
        <w:tc>
          <w:tcPr>
            <w:tcW w:w="421" w:type="pct"/>
            <w:vMerge w:val="continue"/>
            <w:noWrap w:val="0"/>
            <w:vAlign w:val="center"/>
          </w:tcPr>
          <w:p w14:paraId="63730C86">
            <w:pPr>
              <w:autoSpaceDE w:val="0"/>
              <w:autoSpaceDN w:val="0"/>
              <w:rPr>
                <w:rFonts w:hint="eastAsia" w:ascii="宋体" w:hAnsi="宋体" w:cs="宋体"/>
                <w:color w:val="auto"/>
                <w:kern w:val="0"/>
                <w:szCs w:val="21"/>
                <w:highlight w:val="none"/>
              </w:rPr>
            </w:pPr>
          </w:p>
        </w:tc>
        <w:tc>
          <w:tcPr>
            <w:tcW w:w="1494" w:type="dxa"/>
            <w:vMerge w:val="continue"/>
            <w:tcBorders>
              <w:right w:val="single" w:color="auto" w:sz="4" w:space="0"/>
            </w:tcBorders>
            <w:noWrap w:val="0"/>
            <w:vAlign w:val="center"/>
          </w:tcPr>
          <w:p w14:paraId="4B9ED8F5">
            <w:pPr>
              <w:pStyle w:val="4"/>
              <w:jc w:val="center"/>
              <w:rPr>
                <w:rFonts w:hint="eastAsia" w:hAnsi="宋体" w:cs="宋体"/>
                <w:color w:val="auto"/>
                <w:kern w:val="0"/>
                <w:highlight w:val="none"/>
              </w:rPr>
            </w:pPr>
          </w:p>
        </w:tc>
        <w:tc>
          <w:tcPr>
            <w:tcW w:w="694" w:type="dxa"/>
            <w:vMerge w:val="continue"/>
            <w:tcBorders>
              <w:left w:val="single" w:color="auto" w:sz="4" w:space="0"/>
              <w:right w:val="single" w:color="auto" w:sz="4" w:space="0"/>
            </w:tcBorders>
            <w:noWrap w:val="0"/>
            <w:vAlign w:val="center"/>
          </w:tcPr>
          <w:p w14:paraId="28201BEB">
            <w:pPr>
              <w:autoSpaceDE w:val="0"/>
              <w:autoSpaceDN w:val="0"/>
              <w:jc w:val="center"/>
              <w:rPr>
                <w:rFonts w:hint="eastAsia" w:ascii="宋体" w:hAnsi="宋体" w:cs="宋体"/>
                <w:color w:val="auto"/>
                <w:kern w:val="0"/>
                <w:szCs w:val="21"/>
                <w:highlight w:val="none"/>
              </w:rPr>
            </w:pPr>
          </w:p>
        </w:tc>
        <w:tc>
          <w:tcPr>
            <w:tcW w:w="4925" w:type="dxa"/>
            <w:tcBorders>
              <w:top w:val="single" w:color="auto" w:sz="4" w:space="0"/>
              <w:left w:val="single" w:color="auto" w:sz="4" w:space="0"/>
              <w:bottom w:val="single" w:color="auto" w:sz="4" w:space="0"/>
            </w:tcBorders>
            <w:noWrap w:val="0"/>
            <w:vAlign w:val="center"/>
          </w:tcPr>
          <w:p w14:paraId="08FEBC52">
            <w:pPr>
              <w:adjustRightInd w:val="0"/>
              <w:snapToGrid w:val="0"/>
              <w:rPr>
                <w:rFonts w:hint="eastAsia" w:ascii="宋体" w:hAnsi="宋体" w:cs="宋体"/>
                <w:color w:val="auto"/>
                <w:sz w:val="20"/>
                <w:szCs w:val="21"/>
                <w:highlight w:val="none"/>
              </w:rPr>
            </w:pPr>
            <w:r>
              <w:rPr>
                <w:rFonts w:hint="eastAsia" w:hAnsi="宋体"/>
                <w:color w:val="auto"/>
                <w:sz w:val="20"/>
                <w:szCs w:val="21"/>
                <w:highlight w:val="none"/>
              </w:rPr>
              <w:t>系统预警方式及预案内容全面、可行，得</w:t>
            </w:r>
            <w:r>
              <w:rPr>
                <w:rFonts w:hAnsi="宋体"/>
                <w:color w:val="auto"/>
                <w:sz w:val="20"/>
                <w:szCs w:val="21"/>
                <w:highlight w:val="none"/>
              </w:rPr>
              <w:t>4</w:t>
            </w:r>
            <w:r>
              <w:rPr>
                <w:rFonts w:hint="eastAsia" w:hAnsi="宋体"/>
                <w:color w:val="auto"/>
                <w:sz w:val="20"/>
                <w:szCs w:val="21"/>
                <w:highlight w:val="none"/>
              </w:rPr>
              <w:t>-</w:t>
            </w:r>
            <w:r>
              <w:rPr>
                <w:rFonts w:hAnsi="宋体"/>
                <w:color w:val="auto"/>
                <w:sz w:val="20"/>
                <w:szCs w:val="21"/>
                <w:highlight w:val="none"/>
              </w:rPr>
              <w:t>5</w:t>
            </w:r>
            <w:r>
              <w:rPr>
                <w:rFonts w:hint="eastAsia" w:hAnsi="宋体"/>
                <w:color w:val="auto"/>
                <w:sz w:val="20"/>
                <w:szCs w:val="21"/>
                <w:highlight w:val="none"/>
              </w:rPr>
              <w:t>分。</w:t>
            </w:r>
          </w:p>
        </w:tc>
      </w:tr>
      <w:tr w14:paraId="39D54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continue"/>
            <w:noWrap w:val="0"/>
            <w:vAlign w:val="center"/>
          </w:tcPr>
          <w:p w14:paraId="1458EE77">
            <w:pPr>
              <w:autoSpaceDE w:val="0"/>
              <w:autoSpaceDN w:val="0"/>
              <w:rPr>
                <w:rFonts w:hint="eastAsia" w:ascii="宋体" w:hAnsi="宋体" w:cs="宋体"/>
                <w:color w:val="auto"/>
                <w:kern w:val="0"/>
                <w:szCs w:val="21"/>
                <w:highlight w:val="none"/>
              </w:rPr>
            </w:pPr>
          </w:p>
        </w:tc>
        <w:tc>
          <w:tcPr>
            <w:tcW w:w="426" w:type="pct"/>
            <w:vMerge w:val="continue"/>
            <w:noWrap w:val="0"/>
            <w:vAlign w:val="center"/>
          </w:tcPr>
          <w:p w14:paraId="369AAA2C">
            <w:pPr>
              <w:autoSpaceDE w:val="0"/>
              <w:autoSpaceDN w:val="0"/>
              <w:rPr>
                <w:rFonts w:hint="eastAsia" w:ascii="宋体" w:hAnsi="宋体" w:cs="宋体"/>
                <w:color w:val="auto"/>
                <w:kern w:val="0"/>
                <w:szCs w:val="21"/>
                <w:highlight w:val="none"/>
              </w:rPr>
            </w:pPr>
          </w:p>
        </w:tc>
        <w:tc>
          <w:tcPr>
            <w:tcW w:w="421" w:type="pct"/>
            <w:vMerge w:val="continue"/>
            <w:noWrap w:val="0"/>
            <w:vAlign w:val="center"/>
          </w:tcPr>
          <w:p w14:paraId="756C3AFB">
            <w:pPr>
              <w:autoSpaceDE w:val="0"/>
              <w:autoSpaceDN w:val="0"/>
              <w:rPr>
                <w:rFonts w:hint="eastAsia" w:ascii="宋体" w:hAnsi="宋体" w:cs="宋体"/>
                <w:color w:val="auto"/>
                <w:kern w:val="0"/>
                <w:szCs w:val="21"/>
                <w:highlight w:val="none"/>
              </w:rPr>
            </w:pPr>
          </w:p>
        </w:tc>
        <w:tc>
          <w:tcPr>
            <w:tcW w:w="1494" w:type="dxa"/>
            <w:vMerge w:val="restart"/>
            <w:tcBorders>
              <w:right w:val="single" w:color="auto" w:sz="4" w:space="0"/>
            </w:tcBorders>
            <w:noWrap w:val="0"/>
            <w:vAlign w:val="center"/>
          </w:tcPr>
          <w:p w14:paraId="6B7A1265">
            <w:pPr>
              <w:pStyle w:val="4"/>
              <w:spacing w:line="160" w:lineRule="atLeast"/>
              <w:jc w:val="center"/>
              <w:rPr>
                <w:rFonts w:hAnsi="宋体"/>
                <w:color w:val="auto"/>
                <w:highlight w:val="none"/>
              </w:rPr>
            </w:pPr>
            <w:r>
              <w:rPr>
                <w:rFonts w:hint="eastAsia" w:hAnsi="宋体"/>
                <w:color w:val="auto"/>
                <w:highlight w:val="none"/>
              </w:rPr>
              <w:t>服务期限内的安排及保证措施</w:t>
            </w:r>
          </w:p>
        </w:tc>
        <w:tc>
          <w:tcPr>
            <w:tcW w:w="694" w:type="dxa"/>
            <w:vMerge w:val="restart"/>
            <w:tcBorders>
              <w:left w:val="single" w:color="auto" w:sz="4" w:space="0"/>
              <w:right w:val="single" w:color="auto" w:sz="4" w:space="0"/>
            </w:tcBorders>
            <w:noWrap w:val="0"/>
            <w:vAlign w:val="center"/>
          </w:tcPr>
          <w:p w14:paraId="35648AED">
            <w:pPr>
              <w:pStyle w:val="4"/>
              <w:spacing w:line="160" w:lineRule="atLeast"/>
              <w:jc w:val="center"/>
              <w:rPr>
                <w:rFonts w:hAnsi="宋体"/>
                <w:color w:val="auto"/>
                <w:highlight w:val="none"/>
              </w:rPr>
            </w:pPr>
            <w:r>
              <w:rPr>
                <w:rFonts w:hint="eastAsia" w:hAnsi="宋体"/>
                <w:color w:val="auto"/>
                <w:highlight w:val="none"/>
              </w:rPr>
              <w:t>10分</w:t>
            </w:r>
          </w:p>
        </w:tc>
        <w:tc>
          <w:tcPr>
            <w:tcW w:w="4925" w:type="dxa"/>
            <w:tcBorders>
              <w:top w:val="single" w:color="auto" w:sz="4" w:space="0"/>
              <w:left w:val="single" w:color="auto" w:sz="4" w:space="0"/>
              <w:bottom w:val="single" w:color="auto" w:sz="4" w:space="0"/>
            </w:tcBorders>
            <w:noWrap w:val="0"/>
            <w:vAlign w:val="center"/>
          </w:tcPr>
          <w:p w14:paraId="36E11F0F">
            <w:pPr>
              <w:jc w:val="left"/>
              <w:rPr>
                <w:rFonts w:ascii="宋体" w:hAnsi="宋体"/>
                <w:color w:val="auto"/>
                <w:sz w:val="20"/>
                <w:szCs w:val="21"/>
                <w:highlight w:val="none"/>
              </w:rPr>
            </w:pPr>
            <w:r>
              <w:rPr>
                <w:rFonts w:hint="eastAsia" w:ascii="宋体" w:hAnsi="宋体"/>
                <w:color w:val="auto"/>
                <w:sz w:val="20"/>
                <w:szCs w:val="21"/>
                <w:highlight w:val="none"/>
              </w:rPr>
              <w:t>后续服务方案、承诺及保证措施安排一般，得6分；</w:t>
            </w:r>
          </w:p>
        </w:tc>
      </w:tr>
      <w:tr w14:paraId="11DCA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continue"/>
            <w:noWrap w:val="0"/>
            <w:vAlign w:val="center"/>
          </w:tcPr>
          <w:p w14:paraId="3FC24C91">
            <w:pPr>
              <w:autoSpaceDE w:val="0"/>
              <w:autoSpaceDN w:val="0"/>
              <w:rPr>
                <w:rFonts w:hint="eastAsia" w:ascii="宋体" w:hAnsi="宋体" w:cs="宋体"/>
                <w:color w:val="auto"/>
                <w:kern w:val="0"/>
                <w:szCs w:val="21"/>
                <w:highlight w:val="none"/>
              </w:rPr>
            </w:pPr>
          </w:p>
        </w:tc>
        <w:tc>
          <w:tcPr>
            <w:tcW w:w="426" w:type="pct"/>
            <w:vMerge w:val="continue"/>
            <w:noWrap w:val="0"/>
            <w:vAlign w:val="center"/>
          </w:tcPr>
          <w:p w14:paraId="5398F529">
            <w:pPr>
              <w:autoSpaceDE w:val="0"/>
              <w:autoSpaceDN w:val="0"/>
              <w:rPr>
                <w:rFonts w:hint="eastAsia" w:ascii="宋体" w:hAnsi="宋体" w:cs="宋体"/>
                <w:color w:val="auto"/>
                <w:kern w:val="0"/>
                <w:szCs w:val="21"/>
                <w:highlight w:val="none"/>
              </w:rPr>
            </w:pPr>
          </w:p>
        </w:tc>
        <w:tc>
          <w:tcPr>
            <w:tcW w:w="421" w:type="pct"/>
            <w:vMerge w:val="continue"/>
            <w:noWrap w:val="0"/>
            <w:vAlign w:val="center"/>
          </w:tcPr>
          <w:p w14:paraId="01D9C4FD">
            <w:pPr>
              <w:autoSpaceDE w:val="0"/>
              <w:autoSpaceDN w:val="0"/>
              <w:rPr>
                <w:rFonts w:hint="eastAsia" w:ascii="宋体" w:hAnsi="宋体" w:cs="宋体"/>
                <w:color w:val="auto"/>
                <w:kern w:val="0"/>
                <w:szCs w:val="21"/>
                <w:highlight w:val="none"/>
              </w:rPr>
            </w:pPr>
          </w:p>
        </w:tc>
        <w:tc>
          <w:tcPr>
            <w:tcW w:w="1494" w:type="dxa"/>
            <w:vMerge w:val="continue"/>
            <w:tcBorders>
              <w:right w:val="single" w:color="auto" w:sz="4" w:space="0"/>
            </w:tcBorders>
            <w:noWrap w:val="0"/>
            <w:vAlign w:val="center"/>
          </w:tcPr>
          <w:p w14:paraId="324D51E9">
            <w:pPr>
              <w:pStyle w:val="4"/>
              <w:jc w:val="center"/>
              <w:rPr>
                <w:rFonts w:hint="eastAsia" w:hAnsi="宋体" w:cs="宋体"/>
                <w:color w:val="auto"/>
                <w:kern w:val="0"/>
                <w:highlight w:val="none"/>
              </w:rPr>
            </w:pPr>
          </w:p>
        </w:tc>
        <w:tc>
          <w:tcPr>
            <w:tcW w:w="694" w:type="dxa"/>
            <w:vMerge w:val="continue"/>
            <w:tcBorders>
              <w:left w:val="single" w:color="auto" w:sz="4" w:space="0"/>
              <w:right w:val="single" w:color="auto" w:sz="4" w:space="0"/>
            </w:tcBorders>
            <w:noWrap w:val="0"/>
            <w:vAlign w:val="center"/>
          </w:tcPr>
          <w:p w14:paraId="2B418139">
            <w:pPr>
              <w:autoSpaceDE w:val="0"/>
              <w:autoSpaceDN w:val="0"/>
              <w:jc w:val="center"/>
              <w:rPr>
                <w:rFonts w:hint="eastAsia" w:ascii="宋体" w:hAnsi="宋体" w:cs="宋体"/>
                <w:color w:val="auto"/>
                <w:kern w:val="0"/>
                <w:szCs w:val="21"/>
                <w:highlight w:val="none"/>
              </w:rPr>
            </w:pPr>
          </w:p>
        </w:tc>
        <w:tc>
          <w:tcPr>
            <w:tcW w:w="4925" w:type="dxa"/>
            <w:tcBorders>
              <w:top w:val="single" w:color="auto" w:sz="4" w:space="0"/>
              <w:left w:val="single" w:color="auto" w:sz="4" w:space="0"/>
              <w:bottom w:val="single" w:color="auto" w:sz="4" w:space="0"/>
            </w:tcBorders>
            <w:noWrap w:val="0"/>
            <w:vAlign w:val="center"/>
          </w:tcPr>
          <w:p w14:paraId="7313290E">
            <w:pPr>
              <w:adjustRightInd w:val="0"/>
              <w:snapToGrid w:val="0"/>
              <w:rPr>
                <w:rFonts w:hint="eastAsia" w:ascii="宋体" w:hAnsi="宋体" w:cs="宋体"/>
                <w:color w:val="auto"/>
                <w:sz w:val="20"/>
                <w:szCs w:val="21"/>
                <w:highlight w:val="none"/>
              </w:rPr>
            </w:pPr>
            <w:r>
              <w:rPr>
                <w:rFonts w:hint="eastAsia" w:ascii="宋体" w:hAnsi="宋体"/>
                <w:color w:val="auto"/>
                <w:sz w:val="20"/>
                <w:szCs w:val="21"/>
                <w:highlight w:val="none"/>
              </w:rPr>
              <w:t>后续服务方案、承诺及保证措施安排较完善，得6-8分；</w:t>
            </w:r>
          </w:p>
        </w:tc>
      </w:tr>
      <w:tr w14:paraId="26982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vMerge w:val="continue"/>
            <w:noWrap w:val="0"/>
            <w:vAlign w:val="center"/>
          </w:tcPr>
          <w:p w14:paraId="3E885FBF">
            <w:pPr>
              <w:autoSpaceDE w:val="0"/>
              <w:autoSpaceDN w:val="0"/>
              <w:rPr>
                <w:rFonts w:hint="eastAsia" w:ascii="宋体" w:hAnsi="宋体" w:cs="宋体"/>
                <w:color w:val="auto"/>
                <w:kern w:val="0"/>
                <w:szCs w:val="21"/>
                <w:highlight w:val="none"/>
              </w:rPr>
            </w:pPr>
          </w:p>
        </w:tc>
        <w:tc>
          <w:tcPr>
            <w:tcW w:w="426" w:type="pct"/>
            <w:vMerge w:val="continue"/>
            <w:noWrap w:val="0"/>
            <w:vAlign w:val="center"/>
          </w:tcPr>
          <w:p w14:paraId="2285906A">
            <w:pPr>
              <w:autoSpaceDE w:val="0"/>
              <w:autoSpaceDN w:val="0"/>
              <w:rPr>
                <w:rFonts w:hint="eastAsia" w:ascii="宋体" w:hAnsi="宋体" w:cs="宋体"/>
                <w:color w:val="auto"/>
                <w:kern w:val="0"/>
                <w:szCs w:val="21"/>
                <w:highlight w:val="none"/>
              </w:rPr>
            </w:pPr>
          </w:p>
        </w:tc>
        <w:tc>
          <w:tcPr>
            <w:tcW w:w="421" w:type="pct"/>
            <w:vMerge w:val="continue"/>
            <w:noWrap w:val="0"/>
            <w:vAlign w:val="center"/>
          </w:tcPr>
          <w:p w14:paraId="6E6C83F8">
            <w:pPr>
              <w:autoSpaceDE w:val="0"/>
              <w:autoSpaceDN w:val="0"/>
              <w:rPr>
                <w:rFonts w:hint="eastAsia" w:ascii="宋体" w:hAnsi="宋体" w:cs="宋体"/>
                <w:color w:val="auto"/>
                <w:kern w:val="0"/>
                <w:szCs w:val="21"/>
                <w:highlight w:val="none"/>
              </w:rPr>
            </w:pPr>
          </w:p>
        </w:tc>
        <w:tc>
          <w:tcPr>
            <w:tcW w:w="1494" w:type="dxa"/>
            <w:vMerge w:val="continue"/>
            <w:tcBorders>
              <w:bottom w:val="single" w:color="auto" w:sz="4" w:space="0"/>
              <w:right w:val="single" w:color="auto" w:sz="4" w:space="0"/>
            </w:tcBorders>
            <w:noWrap w:val="0"/>
            <w:vAlign w:val="center"/>
          </w:tcPr>
          <w:p w14:paraId="2701F4D2">
            <w:pPr>
              <w:pStyle w:val="4"/>
              <w:jc w:val="center"/>
              <w:rPr>
                <w:rFonts w:hint="eastAsia" w:hAnsi="宋体" w:cs="宋体"/>
                <w:color w:val="auto"/>
                <w:kern w:val="0"/>
                <w:highlight w:val="none"/>
              </w:rPr>
            </w:pPr>
          </w:p>
        </w:tc>
        <w:tc>
          <w:tcPr>
            <w:tcW w:w="694" w:type="dxa"/>
            <w:vMerge w:val="continue"/>
            <w:tcBorders>
              <w:left w:val="single" w:color="auto" w:sz="4" w:space="0"/>
              <w:bottom w:val="single" w:color="auto" w:sz="4" w:space="0"/>
              <w:right w:val="single" w:color="auto" w:sz="4" w:space="0"/>
            </w:tcBorders>
            <w:noWrap w:val="0"/>
            <w:vAlign w:val="center"/>
          </w:tcPr>
          <w:p w14:paraId="69E9EBF3">
            <w:pPr>
              <w:autoSpaceDE w:val="0"/>
              <w:autoSpaceDN w:val="0"/>
              <w:jc w:val="center"/>
              <w:rPr>
                <w:rFonts w:hint="eastAsia" w:ascii="宋体" w:hAnsi="宋体" w:cs="宋体"/>
                <w:color w:val="auto"/>
                <w:kern w:val="0"/>
                <w:szCs w:val="21"/>
                <w:highlight w:val="none"/>
              </w:rPr>
            </w:pPr>
          </w:p>
        </w:tc>
        <w:tc>
          <w:tcPr>
            <w:tcW w:w="4925" w:type="dxa"/>
            <w:tcBorders>
              <w:top w:val="single" w:color="auto" w:sz="4" w:space="0"/>
              <w:left w:val="single" w:color="auto" w:sz="4" w:space="0"/>
              <w:bottom w:val="single" w:color="auto" w:sz="4" w:space="0"/>
            </w:tcBorders>
            <w:noWrap w:val="0"/>
            <w:vAlign w:val="center"/>
          </w:tcPr>
          <w:p w14:paraId="2D25DC5B">
            <w:pPr>
              <w:adjustRightInd w:val="0"/>
              <w:snapToGrid w:val="0"/>
              <w:rPr>
                <w:rFonts w:hint="eastAsia" w:ascii="宋体" w:hAnsi="宋体" w:cs="宋体"/>
                <w:color w:val="auto"/>
                <w:sz w:val="20"/>
                <w:szCs w:val="21"/>
                <w:highlight w:val="none"/>
              </w:rPr>
            </w:pPr>
            <w:r>
              <w:rPr>
                <w:rFonts w:hint="eastAsia" w:ascii="宋体" w:hAnsi="宋体"/>
                <w:color w:val="auto"/>
                <w:sz w:val="20"/>
                <w:szCs w:val="21"/>
                <w:highlight w:val="none"/>
              </w:rPr>
              <w:t>后续服务方案、承诺及保证措施安排完善合理，得8-10分。</w:t>
            </w:r>
          </w:p>
        </w:tc>
      </w:tr>
      <w:tr w14:paraId="15887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9" w:hRule="atLeast"/>
          <w:jc w:val="center"/>
        </w:trPr>
        <w:tc>
          <w:tcPr>
            <w:tcW w:w="373" w:type="pct"/>
            <w:vMerge w:val="restart"/>
            <w:noWrap w:val="0"/>
            <w:vAlign w:val="center"/>
          </w:tcPr>
          <w:p w14:paraId="5F9C71AA">
            <w:pPr>
              <w:autoSpaceDE w:val="0"/>
              <w:autoSpaceDN w:val="0"/>
              <w:ind w:right="-120" w:rightChars="-57"/>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2.2.4（2）</w:t>
            </w:r>
          </w:p>
        </w:tc>
        <w:tc>
          <w:tcPr>
            <w:tcW w:w="426" w:type="pct"/>
            <w:vMerge w:val="restart"/>
            <w:noWrap w:val="0"/>
            <w:vAlign w:val="center"/>
          </w:tcPr>
          <w:p w14:paraId="01B8322C">
            <w:pPr>
              <w:autoSpaceDE w:val="0"/>
              <w:autoSpaceDN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主要</w:t>
            </w:r>
          </w:p>
          <w:p w14:paraId="5A21F992">
            <w:pPr>
              <w:autoSpaceDE w:val="0"/>
              <w:autoSpaceDN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人员</w:t>
            </w:r>
          </w:p>
        </w:tc>
        <w:tc>
          <w:tcPr>
            <w:tcW w:w="421" w:type="pct"/>
            <w:vMerge w:val="restart"/>
            <w:noWrap w:val="0"/>
            <w:vAlign w:val="center"/>
          </w:tcPr>
          <w:p w14:paraId="5C3F3609">
            <w:pPr>
              <w:autoSpaceDE w:val="0"/>
              <w:autoSpaceDN w:val="0"/>
              <w:jc w:val="center"/>
              <w:rPr>
                <w:rFonts w:hint="eastAsia"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0分</w:t>
            </w:r>
          </w:p>
        </w:tc>
        <w:tc>
          <w:tcPr>
            <w:tcW w:w="1494" w:type="dxa"/>
            <w:vMerge w:val="restart"/>
            <w:tcBorders>
              <w:top w:val="single" w:color="auto" w:sz="4" w:space="0"/>
              <w:right w:val="single" w:color="auto" w:sz="4" w:space="0"/>
            </w:tcBorders>
            <w:noWrap w:val="0"/>
            <w:vAlign w:val="center"/>
          </w:tcPr>
          <w:p w14:paraId="4D675DF1">
            <w:pPr>
              <w:autoSpaceDE w:val="0"/>
              <w:autoSpaceDN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项目负责人</w:t>
            </w:r>
          </w:p>
        </w:tc>
        <w:tc>
          <w:tcPr>
            <w:tcW w:w="694" w:type="dxa"/>
            <w:vMerge w:val="restart"/>
            <w:tcBorders>
              <w:top w:val="single" w:color="auto" w:sz="4" w:space="0"/>
              <w:left w:val="single" w:color="auto" w:sz="4" w:space="0"/>
              <w:right w:val="single" w:color="auto" w:sz="4" w:space="0"/>
            </w:tcBorders>
            <w:noWrap w:val="0"/>
            <w:vAlign w:val="center"/>
          </w:tcPr>
          <w:p w14:paraId="339FA828">
            <w:pPr>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0</w:t>
            </w:r>
            <w:r>
              <w:rPr>
                <w:rFonts w:hint="eastAsia" w:ascii="宋体" w:hAnsi="宋体" w:cs="宋体"/>
                <w:color w:val="auto"/>
                <w:szCs w:val="21"/>
                <w:highlight w:val="none"/>
              </w:rPr>
              <w:t>分</w:t>
            </w:r>
          </w:p>
        </w:tc>
        <w:tc>
          <w:tcPr>
            <w:tcW w:w="4925" w:type="dxa"/>
            <w:tcBorders>
              <w:top w:val="single" w:color="auto" w:sz="4" w:space="0"/>
              <w:left w:val="single" w:color="auto" w:sz="4" w:space="0"/>
              <w:bottom w:val="single" w:color="auto" w:sz="4" w:space="0"/>
            </w:tcBorders>
            <w:noWrap w:val="0"/>
            <w:vAlign w:val="center"/>
          </w:tcPr>
          <w:p w14:paraId="19F43949">
            <w:pPr>
              <w:rPr>
                <w:rFonts w:hint="eastAsia" w:ascii="宋体" w:hAnsi="宋体" w:cs="宋体"/>
                <w:color w:val="auto"/>
                <w:szCs w:val="21"/>
                <w:highlight w:val="none"/>
              </w:rPr>
            </w:pPr>
            <w:r>
              <w:rPr>
                <w:rFonts w:hint="eastAsia" w:ascii="宋体" w:hAnsi="宋体" w:cs="宋体"/>
                <w:color w:val="auto"/>
                <w:szCs w:val="21"/>
                <w:highlight w:val="none"/>
              </w:rPr>
              <w:t>满足附录4资格审查条件（主要人员最低要求），得12分；</w:t>
            </w:r>
          </w:p>
        </w:tc>
      </w:tr>
      <w:tr w14:paraId="02307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48" w:hRule="atLeast"/>
          <w:jc w:val="center"/>
        </w:trPr>
        <w:tc>
          <w:tcPr>
            <w:tcW w:w="373" w:type="pct"/>
            <w:vMerge w:val="continue"/>
            <w:noWrap w:val="0"/>
            <w:vAlign w:val="center"/>
          </w:tcPr>
          <w:p w14:paraId="67B317C8">
            <w:pPr>
              <w:autoSpaceDE w:val="0"/>
              <w:autoSpaceDN w:val="0"/>
              <w:ind w:right="-120" w:rightChars="-57"/>
              <w:jc w:val="center"/>
              <w:rPr>
                <w:rFonts w:hint="eastAsia" w:ascii="宋体" w:hAnsi="宋体" w:cs="宋体"/>
                <w:color w:val="auto"/>
                <w:kern w:val="0"/>
                <w:szCs w:val="21"/>
                <w:highlight w:val="none"/>
              </w:rPr>
            </w:pPr>
          </w:p>
        </w:tc>
        <w:tc>
          <w:tcPr>
            <w:tcW w:w="426" w:type="pct"/>
            <w:vMerge w:val="continue"/>
            <w:noWrap w:val="0"/>
            <w:vAlign w:val="center"/>
          </w:tcPr>
          <w:p w14:paraId="795E6BE2">
            <w:pPr>
              <w:autoSpaceDE w:val="0"/>
              <w:autoSpaceDN w:val="0"/>
              <w:jc w:val="center"/>
              <w:rPr>
                <w:rFonts w:hint="eastAsia" w:ascii="宋体" w:hAnsi="宋体" w:cs="宋体"/>
                <w:color w:val="auto"/>
                <w:kern w:val="0"/>
                <w:szCs w:val="21"/>
                <w:highlight w:val="none"/>
              </w:rPr>
            </w:pPr>
          </w:p>
        </w:tc>
        <w:tc>
          <w:tcPr>
            <w:tcW w:w="421" w:type="pct"/>
            <w:vMerge w:val="continue"/>
            <w:noWrap w:val="0"/>
            <w:vAlign w:val="center"/>
          </w:tcPr>
          <w:p w14:paraId="33AADCCA">
            <w:pPr>
              <w:autoSpaceDE w:val="0"/>
              <w:autoSpaceDN w:val="0"/>
              <w:jc w:val="center"/>
              <w:rPr>
                <w:rFonts w:hint="eastAsia" w:ascii="宋体" w:hAnsi="宋体" w:cs="宋体"/>
                <w:color w:val="auto"/>
                <w:kern w:val="0"/>
                <w:szCs w:val="21"/>
                <w:highlight w:val="none"/>
              </w:rPr>
            </w:pPr>
          </w:p>
        </w:tc>
        <w:tc>
          <w:tcPr>
            <w:tcW w:w="1494" w:type="dxa"/>
            <w:vMerge w:val="continue"/>
            <w:tcBorders>
              <w:right w:val="single" w:color="auto" w:sz="4" w:space="0"/>
            </w:tcBorders>
            <w:noWrap w:val="0"/>
            <w:vAlign w:val="center"/>
          </w:tcPr>
          <w:p w14:paraId="7449D3E5">
            <w:pPr>
              <w:autoSpaceDE w:val="0"/>
              <w:autoSpaceDN w:val="0"/>
              <w:jc w:val="center"/>
              <w:rPr>
                <w:rFonts w:hint="eastAsia" w:ascii="宋体" w:hAnsi="宋体" w:cs="宋体"/>
                <w:color w:val="auto"/>
                <w:kern w:val="0"/>
                <w:szCs w:val="21"/>
                <w:highlight w:val="none"/>
              </w:rPr>
            </w:pPr>
          </w:p>
        </w:tc>
        <w:tc>
          <w:tcPr>
            <w:tcW w:w="694" w:type="dxa"/>
            <w:vMerge w:val="continue"/>
            <w:tcBorders>
              <w:left w:val="single" w:color="auto" w:sz="4" w:space="0"/>
              <w:right w:val="single" w:color="auto" w:sz="4" w:space="0"/>
            </w:tcBorders>
            <w:noWrap w:val="0"/>
            <w:vAlign w:val="center"/>
          </w:tcPr>
          <w:p w14:paraId="1E8FCE24">
            <w:pPr>
              <w:pStyle w:val="4"/>
              <w:rPr>
                <w:rFonts w:hint="eastAsia" w:hAnsi="宋体" w:cs="宋体"/>
                <w:color w:val="auto"/>
                <w:highlight w:val="none"/>
              </w:rPr>
            </w:pPr>
          </w:p>
        </w:tc>
        <w:tc>
          <w:tcPr>
            <w:tcW w:w="4925" w:type="dxa"/>
            <w:tcBorders>
              <w:top w:val="single" w:color="auto" w:sz="4" w:space="0"/>
              <w:left w:val="single" w:color="auto" w:sz="4" w:space="0"/>
            </w:tcBorders>
            <w:noWrap w:val="0"/>
            <w:vAlign w:val="center"/>
          </w:tcPr>
          <w:p w14:paraId="1192AA51">
            <w:pPr>
              <w:pStyle w:val="4"/>
              <w:rPr>
                <w:rFonts w:hint="eastAsia" w:hAnsi="宋体" w:cs="宋体"/>
                <w:color w:val="auto"/>
                <w:highlight w:val="none"/>
              </w:rPr>
            </w:pPr>
            <w:r>
              <w:rPr>
                <w:rFonts w:hint="eastAsia" w:hAnsi="宋体"/>
                <w:color w:val="auto"/>
                <w:highlight w:val="none"/>
              </w:rPr>
              <w:t>每增加1个满足</w:t>
            </w:r>
            <w:r>
              <w:rPr>
                <w:rFonts w:hint="eastAsia" w:hAnsi="宋体" w:cs="宋体"/>
                <w:color w:val="auto"/>
                <w:highlight w:val="none"/>
              </w:rPr>
              <w:t>附录4</w:t>
            </w:r>
            <w:r>
              <w:rPr>
                <w:rFonts w:hint="eastAsia" w:hAnsi="宋体"/>
                <w:color w:val="auto"/>
                <w:highlight w:val="none"/>
              </w:rPr>
              <w:t>资格审查条件（主要人员最低要求）的业绩加8分，</w:t>
            </w:r>
            <w:r>
              <w:rPr>
                <w:rFonts w:hint="eastAsia" w:hAnsi="宋体" w:cs="宋体"/>
                <w:color w:val="auto"/>
                <w:highlight w:val="none"/>
              </w:rPr>
              <w:t>本项</w:t>
            </w:r>
            <w:r>
              <w:rPr>
                <w:rFonts w:hint="eastAsia" w:hAnsi="宋体"/>
                <w:color w:val="auto"/>
                <w:highlight w:val="none"/>
              </w:rPr>
              <w:t>最多加8分。</w:t>
            </w:r>
          </w:p>
        </w:tc>
      </w:tr>
      <w:tr w14:paraId="57FEC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373" w:type="pct"/>
            <w:noWrap w:val="0"/>
            <w:vAlign w:val="center"/>
          </w:tcPr>
          <w:p w14:paraId="6C9D90F7">
            <w:pPr>
              <w:autoSpaceDE w:val="0"/>
              <w:autoSpaceDN w:val="0"/>
              <w:ind w:right="-120" w:rightChars="-57"/>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2.2.4（3）</w:t>
            </w:r>
          </w:p>
        </w:tc>
        <w:tc>
          <w:tcPr>
            <w:tcW w:w="426" w:type="pct"/>
            <w:noWrap w:val="0"/>
            <w:vAlign w:val="center"/>
          </w:tcPr>
          <w:p w14:paraId="29E75280">
            <w:pPr>
              <w:autoSpaceDE w:val="0"/>
              <w:autoSpaceDN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评标价</w:t>
            </w:r>
          </w:p>
        </w:tc>
        <w:tc>
          <w:tcPr>
            <w:tcW w:w="421" w:type="pct"/>
            <w:noWrap w:val="0"/>
            <w:vAlign w:val="center"/>
          </w:tcPr>
          <w:p w14:paraId="50CBAFF5">
            <w:pPr>
              <w:autoSpaceDE w:val="0"/>
              <w:autoSpaceDN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10分</w:t>
            </w:r>
          </w:p>
        </w:tc>
        <w:tc>
          <w:tcPr>
            <w:tcW w:w="3780" w:type="pct"/>
            <w:gridSpan w:val="3"/>
            <w:tcBorders>
              <w:top w:val="single" w:color="auto" w:sz="4" w:space="0"/>
            </w:tcBorders>
            <w:noWrap w:val="0"/>
            <w:vAlign w:val="center"/>
          </w:tcPr>
          <w:p w14:paraId="318B9B8A">
            <w:pPr>
              <w:rPr>
                <w:rFonts w:ascii="宋体" w:hAnsi="宋体" w:cs="宋体"/>
                <w:color w:val="auto"/>
                <w:szCs w:val="21"/>
                <w:highlight w:val="none"/>
              </w:rPr>
            </w:pPr>
            <w:r>
              <w:rPr>
                <w:rFonts w:hint="eastAsia" w:ascii="宋体" w:hAnsi="宋体" w:cs="宋体"/>
                <w:color w:val="auto"/>
                <w:szCs w:val="21"/>
                <w:highlight w:val="none"/>
              </w:rPr>
              <w:t>评标价得分计算公式示例：</w:t>
            </w:r>
          </w:p>
          <w:p w14:paraId="0ABD8018">
            <w:pPr>
              <w:rPr>
                <w:rFonts w:ascii="宋体" w:hAnsi="宋体" w:cs="宋体"/>
                <w:color w:val="auto"/>
                <w:szCs w:val="21"/>
                <w:highlight w:val="none"/>
              </w:rPr>
            </w:pPr>
            <w:r>
              <w:rPr>
                <w:rFonts w:hint="eastAsia" w:ascii="宋体" w:hAnsi="宋体" w:cs="宋体"/>
                <w:color w:val="auto"/>
                <w:szCs w:val="21"/>
                <w:highlight w:val="none"/>
              </w:rPr>
              <w:t>（1）如果投标人的评标价＞评标基准价，则评标价得分=F-（投标人评标价-评标基准价）/评标基准价×100×E1；</w:t>
            </w:r>
          </w:p>
          <w:p w14:paraId="3C7901CE">
            <w:pPr>
              <w:rPr>
                <w:rFonts w:ascii="宋体" w:hAnsi="宋体" w:cs="宋体"/>
                <w:color w:val="auto"/>
                <w:szCs w:val="21"/>
                <w:highlight w:val="none"/>
              </w:rPr>
            </w:pPr>
            <w:r>
              <w:rPr>
                <w:rFonts w:hint="eastAsia" w:ascii="宋体" w:hAnsi="宋体" w:cs="宋体"/>
                <w:color w:val="auto"/>
                <w:szCs w:val="21"/>
                <w:highlight w:val="none"/>
              </w:rPr>
              <w:t>（2）如果投标人的评标价≤评标基准价，则评标价得分=F+(投标人评标价-评标基准价)/评标基准价×100×E2。</w:t>
            </w:r>
          </w:p>
          <w:p w14:paraId="682C1901">
            <w:pPr>
              <w:rPr>
                <w:rFonts w:hint="eastAsia" w:ascii="宋体" w:hAnsi="宋体" w:cs="宋体"/>
                <w:color w:val="auto"/>
                <w:szCs w:val="21"/>
                <w:highlight w:val="none"/>
              </w:rPr>
            </w:pPr>
            <w:r>
              <w:rPr>
                <w:rFonts w:hint="eastAsia" w:ascii="宋体" w:hAnsi="宋体" w:cs="宋体"/>
                <w:color w:val="auto"/>
                <w:szCs w:val="21"/>
                <w:highlight w:val="none"/>
              </w:rPr>
              <w:t>其中，F=10；E1=0.</w:t>
            </w:r>
            <w:r>
              <w:rPr>
                <w:rFonts w:ascii="宋体" w:hAnsi="宋体" w:cs="宋体"/>
                <w:color w:val="auto"/>
                <w:szCs w:val="21"/>
                <w:highlight w:val="none"/>
              </w:rPr>
              <w:t>2</w:t>
            </w:r>
            <w:r>
              <w:rPr>
                <w:rFonts w:hint="eastAsia" w:ascii="宋体" w:hAnsi="宋体" w:cs="宋体"/>
                <w:color w:val="auto"/>
                <w:szCs w:val="21"/>
                <w:highlight w:val="none"/>
              </w:rPr>
              <w:t>；E2=0.</w:t>
            </w:r>
            <w:r>
              <w:rPr>
                <w:rFonts w:ascii="宋体" w:hAnsi="宋体" w:cs="宋体"/>
                <w:color w:val="auto"/>
                <w:szCs w:val="21"/>
                <w:highlight w:val="none"/>
              </w:rPr>
              <w:t>1</w:t>
            </w:r>
            <w:r>
              <w:rPr>
                <w:rFonts w:hint="eastAsia" w:ascii="宋体" w:hAnsi="宋体" w:cs="宋体"/>
                <w:color w:val="auto"/>
                <w:szCs w:val="21"/>
                <w:highlight w:val="none"/>
              </w:rPr>
              <w:t>；评标价最低得分为0分。</w:t>
            </w:r>
          </w:p>
          <w:p w14:paraId="737F34C4">
            <w:pPr>
              <w:pStyle w:val="3"/>
              <w:rPr>
                <w:rFonts w:hint="eastAsia"/>
                <w:color w:val="auto"/>
                <w:highlight w:val="none"/>
              </w:rPr>
            </w:pPr>
            <w:r>
              <w:rPr>
                <w:rFonts w:hint="eastAsia" w:ascii="宋体" w:hAnsi="宋体" w:cs="宋体"/>
                <w:color w:val="auto"/>
                <w:szCs w:val="21"/>
                <w:highlight w:val="none"/>
              </w:rPr>
              <w:t>评标价得分</w:t>
            </w:r>
            <w:r>
              <w:rPr>
                <w:rFonts w:hint="eastAsia" w:ascii="宋体" w:hAnsi="宋体"/>
                <w:color w:val="auto"/>
                <w:highlight w:val="none"/>
              </w:rPr>
              <w:t>保留两位小数，小数点后第三位“四舍五入”。</w:t>
            </w:r>
          </w:p>
        </w:tc>
      </w:tr>
      <w:tr w14:paraId="663A9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6" w:hRule="atLeast"/>
          <w:jc w:val="center"/>
        </w:trPr>
        <w:tc>
          <w:tcPr>
            <w:tcW w:w="373" w:type="pct"/>
            <w:vMerge w:val="restart"/>
            <w:noWrap w:val="0"/>
            <w:vAlign w:val="center"/>
          </w:tcPr>
          <w:p w14:paraId="2E6FF0C4">
            <w:pPr>
              <w:autoSpaceDE w:val="0"/>
              <w:autoSpaceDN w:val="0"/>
              <w:ind w:right="-120" w:rightChars="-57"/>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2.2.4（4）</w:t>
            </w:r>
          </w:p>
        </w:tc>
        <w:tc>
          <w:tcPr>
            <w:tcW w:w="426" w:type="pct"/>
            <w:vMerge w:val="restart"/>
            <w:tcBorders>
              <w:right w:val="single" w:color="auto" w:sz="4" w:space="0"/>
            </w:tcBorders>
            <w:noWrap w:val="0"/>
            <w:vAlign w:val="center"/>
          </w:tcPr>
          <w:p w14:paraId="19A1F427">
            <w:pPr>
              <w:autoSpaceDE w:val="0"/>
              <w:autoSpaceDN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其他</w:t>
            </w:r>
          </w:p>
          <w:p w14:paraId="4900968A">
            <w:pPr>
              <w:autoSpaceDE w:val="0"/>
              <w:autoSpaceDN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因素</w:t>
            </w:r>
          </w:p>
        </w:tc>
        <w:tc>
          <w:tcPr>
            <w:tcW w:w="421" w:type="pct"/>
            <w:vMerge w:val="restart"/>
            <w:tcBorders>
              <w:left w:val="single" w:color="auto" w:sz="4" w:space="0"/>
            </w:tcBorders>
            <w:noWrap w:val="0"/>
            <w:vAlign w:val="center"/>
          </w:tcPr>
          <w:p w14:paraId="6AE30472">
            <w:pPr>
              <w:autoSpaceDE w:val="0"/>
              <w:autoSpaceDN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20分</w:t>
            </w:r>
          </w:p>
        </w:tc>
        <w:tc>
          <w:tcPr>
            <w:tcW w:w="794" w:type="pct"/>
            <w:vMerge w:val="restart"/>
            <w:tcBorders>
              <w:top w:val="single" w:color="auto" w:sz="4" w:space="0"/>
              <w:right w:val="single" w:color="auto" w:sz="4" w:space="0"/>
            </w:tcBorders>
            <w:noWrap w:val="0"/>
            <w:vAlign w:val="center"/>
          </w:tcPr>
          <w:p w14:paraId="4E8938FC">
            <w:pPr>
              <w:autoSpaceDE w:val="0"/>
              <w:autoSpaceDN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业绩</w:t>
            </w:r>
          </w:p>
        </w:tc>
        <w:tc>
          <w:tcPr>
            <w:tcW w:w="369" w:type="pct"/>
            <w:vMerge w:val="restart"/>
            <w:tcBorders>
              <w:top w:val="single" w:color="auto" w:sz="4" w:space="0"/>
              <w:left w:val="single" w:color="auto" w:sz="4" w:space="0"/>
              <w:right w:val="single" w:color="auto" w:sz="4" w:space="0"/>
            </w:tcBorders>
            <w:noWrap w:val="0"/>
            <w:vAlign w:val="center"/>
          </w:tcPr>
          <w:p w14:paraId="24BBBC5F">
            <w:pPr>
              <w:pStyle w:val="4"/>
              <w:jc w:val="center"/>
              <w:rPr>
                <w:rFonts w:hint="eastAsia" w:hAnsi="宋体" w:cs="宋体"/>
                <w:color w:val="auto"/>
                <w:highlight w:val="none"/>
              </w:rPr>
            </w:pPr>
            <w:r>
              <w:rPr>
                <w:rFonts w:hint="eastAsia" w:hAnsi="宋体" w:cs="宋体"/>
                <w:color w:val="auto"/>
                <w:highlight w:val="none"/>
              </w:rPr>
              <w:t>2</w:t>
            </w:r>
            <w:r>
              <w:rPr>
                <w:rFonts w:hAnsi="宋体" w:cs="宋体"/>
                <w:color w:val="auto"/>
                <w:highlight w:val="none"/>
              </w:rPr>
              <w:t>0</w:t>
            </w:r>
            <w:r>
              <w:rPr>
                <w:rFonts w:hint="eastAsia" w:hAnsi="宋体" w:cs="宋体"/>
                <w:color w:val="auto"/>
                <w:highlight w:val="none"/>
              </w:rPr>
              <w:t>分</w:t>
            </w:r>
          </w:p>
        </w:tc>
        <w:tc>
          <w:tcPr>
            <w:tcW w:w="2617" w:type="pct"/>
            <w:tcBorders>
              <w:top w:val="single" w:color="auto" w:sz="4" w:space="0"/>
              <w:left w:val="single" w:color="auto" w:sz="4" w:space="0"/>
              <w:bottom w:val="single" w:color="auto" w:sz="4" w:space="0"/>
            </w:tcBorders>
            <w:noWrap w:val="0"/>
            <w:vAlign w:val="center"/>
          </w:tcPr>
          <w:p w14:paraId="77EB510E">
            <w:pPr>
              <w:jc w:val="left"/>
              <w:rPr>
                <w:rFonts w:hint="eastAsia" w:ascii="宋体" w:hAnsi="宋体" w:cs="宋体"/>
                <w:color w:val="auto"/>
                <w:szCs w:val="21"/>
                <w:highlight w:val="none"/>
              </w:rPr>
            </w:pPr>
            <w:r>
              <w:rPr>
                <w:rFonts w:hint="eastAsia" w:ascii="宋体" w:hAnsi="宋体" w:cs="宋体"/>
                <w:color w:val="auto"/>
                <w:szCs w:val="21"/>
                <w:highlight w:val="none"/>
              </w:rPr>
              <w:t>满足附录2资格审查条件（业绩最低要求），得12分。</w:t>
            </w:r>
          </w:p>
        </w:tc>
      </w:tr>
      <w:tr w14:paraId="411C7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7" w:hRule="atLeast"/>
          <w:jc w:val="center"/>
        </w:trPr>
        <w:tc>
          <w:tcPr>
            <w:tcW w:w="373" w:type="pct"/>
            <w:vMerge w:val="continue"/>
            <w:noWrap w:val="0"/>
            <w:vAlign w:val="center"/>
          </w:tcPr>
          <w:p w14:paraId="3DD9BD56">
            <w:pPr>
              <w:autoSpaceDE w:val="0"/>
              <w:autoSpaceDN w:val="0"/>
              <w:rPr>
                <w:rFonts w:hint="eastAsia" w:ascii="宋体" w:hAnsi="宋体" w:cs="宋体"/>
                <w:color w:val="auto"/>
                <w:kern w:val="0"/>
                <w:szCs w:val="21"/>
                <w:highlight w:val="none"/>
              </w:rPr>
            </w:pPr>
          </w:p>
        </w:tc>
        <w:tc>
          <w:tcPr>
            <w:tcW w:w="426" w:type="pct"/>
            <w:vMerge w:val="continue"/>
            <w:tcBorders>
              <w:right w:val="single" w:color="auto" w:sz="4" w:space="0"/>
            </w:tcBorders>
            <w:noWrap w:val="0"/>
            <w:vAlign w:val="center"/>
          </w:tcPr>
          <w:p w14:paraId="0A00A820">
            <w:pPr>
              <w:autoSpaceDE w:val="0"/>
              <w:autoSpaceDN w:val="0"/>
              <w:rPr>
                <w:rFonts w:hint="eastAsia" w:ascii="宋体" w:hAnsi="宋体" w:cs="宋体"/>
                <w:color w:val="auto"/>
                <w:kern w:val="0"/>
                <w:szCs w:val="21"/>
                <w:highlight w:val="none"/>
              </w:rPr>
            </w:pPr>
          </w:p>
        </w:tc>
        <w:tc>
          <w:tcPr>
            <w:tcW w:w="421" w:type="pct"/>
            <w:vMerge w:val="continue"/>
            <w:tcBorders>
              <w:left w:val="single" w:color="auto" w:sz="4" w:space="0"/>
            </w:tcBorders>
            <w:noWrap w:val="0"/>
            <w:vAlign w:val="center"/>
          </w:tcPr>
          <w:p w14:paraId="378A7089">
            <w:pPr>
              <w:autoSpaceDE w:val="0"/>
              <w:autoSpaceDN w:val="0"/>
              <w:jc w:val="center"/>
              <w:rPr>
                <w:rFonts w:hint="eastAsia" w:ascii="宋体" w:hAnsi="宋体" w:cs="宋体"/>
                <w:color w:val="auto"/>
                <w:kern w:val="0"/>
                <w:szCs w:val="21"/>
                <w:highlight w:val="none"/>
              </w:rPr>
            </w:pPr>
          </w:p>
        </w:tc>
        <w:tc>
          <w:tcPr>
            <w:tcW w:w="794" w:type="pct"/>
            <w:vMerge w:val="continue"/>
            <w:tcBorders>
              <w:right w:val="single" w:color="auto" w:sz="4" w:space="0"/>
            </w:tcBorders>
            <w:noWrap w:val="0"/>
            <w:vAlign w:val="center"/>
          </w:tcPr>
          <w:p w14:paraId="19A87AD0">
            <w:pPr>
              <w:autoSpaceDE w:val="0"/>
              <w:autoSpaceDN w:val="0"/>
              <w:jc w:val="center"/>
              <w:rPr>
                <w:rFonts w:hint="eastAsia" w:ascii="宋体" w:hAnsi="宋体" w:cs="宋体"/>
                <w:color w:val="auto"/>
                <w:kern w:val="0"/>
                <w:szCs w:val="21"/>
                <w:highlight w:val="none"/>
              </w:rPr>
            </w:pPr>
          </w:p>
        </w:tc>
        <w:tc>
          <w:tcPr>
            <w:tcW w:w="369" w:type="pct"/>
            <w:vMerge w:val="continue"/>
            <w:tcBorders>
              <w:left w:val="single" w:color="auto" w:sz="4" w:space="0"/>
              <w:right w:val="single" w:color="auto" w:sz="4" w:space="0"/>
            </w:tcBorders>
            <w:noWrap w:val="0"/>
            <w:vAlign w:val="center"/>
          </w:tcPr>
          <w:p w14:paraId="424761C9">
            <w:pPr>
              <w:pStyle w:val="4"/>
              <w:jc w:val="center"/>
              <w:rPr>
                <w:rFonts w:hint="eastAsia" w:hAnsi="宋体" w:cs="宋体"/>
                <w:color w:val="auto"/>
                <w:highlight w:val="none"/>
              </w:rPr>
            </w:pPr>
          </w:p>
        </w:tc>
        <w:tc>
          <w:tcPr>
            <w:tcW w:w="2617" w:type="pct"/>
            <w:tcBorders>
              <w:top w:val="single" w:color="auto" w:sz="4" w:space="0"/>
              <w:left w:val="single" w:color="auto" w:sz="4" w:space="0"/>
              <w:bottom w:val="single" w:color="auto" w:sz="4" w:space="0"/>
            </w:tcBorders>
            <w:noWrap w:val="0"/>
            <w:vAlign w:val="center"/>
          </w:tcPr>
          <w:p w14:paraId="01886811">
            <w:pPr>
              <w:jc w:val="left"/>
              <w:rPr>
                <w:rFonts w:ascii="宋体" w:hAnsi="宋体" w:cs="宋体"/>
                <w:color w:val="auto"/>
                <w:szCs w:val="21"/>
                <w:highlight w:val="none"/>
              </w:rPr>
            </w:pPr>
            <w:r>
              <w:rPr>
                <w:rFonts w:hint="eastAsia" w:ascii="宋体" w:hAnsi="宋体" w:cs="宋体"/>
                <w:color w:val="auto"/>
                <w:szCs w:val="21"/>
                <w:highlight w:val="none"/>
              </w:rPr>
              <w:t>每增加1个满足附录2资格审查条件（业绩最低要求）的业绩加4分，本项最多加8分。</w:t>
            </w:r>
          </w:p>
        </w:tc>
      </w:tr>
    </w:tbl>
    <w:p w14:paraId="2F6190F0">
      <w:pPr>
        <w:spacing w:line="288" w:lineRule="auto"/>
        <w:ind w:firstLine="420" w:firstLineChars="200"/>
        <w:jc w:val="left"/>
        <w:rPr>
          <w:rFonts w:ascii="宋体" w:hAns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w:t>
      </w:r>
      <w:r>
        <w:rPr>
          <w:rFonts w:ascii="宋体" w:hAnsi="宋体" w:cs="宋体"/>
          <w:color w:val="auto"/>
          <w:highlight w:val="none"/>
        </w:rPr>
        <w:t>各评分因素得分以评标委员会各成员的打分平均值确定，</w:t>
      </w:r>
      <w:r>
        <w:rPr>
          <w:rFonts w:hint="eastAsia" w:ascii="宋体" w:hAnsi="宋体" w:cs="宋体"/>
          <w:color w:val="auto"/>
          <w:highlight w:val="none"/>
        </w:rPr>
        <w:t>保留2位小数。</w:t>
      </w:r>
    </w:p>
    <w:p w14:paraId="7C27396A">
      <w:pPr>
        <w:spacing w:line="288" w:lineRule="auto"/>
        <w:ind w:firstLine="840" w:firstLineChars="400"/>
        <w:jc w:val="left"/>
        <w:rPr>
          <w:rFonts w:hint="eastAsia"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、技术建议书各</w:t>
      </w:r>
      <w:r>
        <w:rPr>
          <w:rFonts w:ascii="宋体" w:hAnsi="宋体" w:cs="宋体"/>
          <w:color w:val="auto"/>
          <w:highlight w:val="none"/>
        </w:rPr>
        <w:t>评分因素细分项</w:t>
      </w:r>
      <w:r>
        <w:rPr>
          <w:rFonts w:hint="eastAsia" w:ascii="宋体" w:hAnsi="宋体" w:cs="宋体"/>
          <w:color w:val="auto"/>
          <w:highlight w:val="none"/>
        </w:rPr>
        <w:t>缺项，则该项得0分。</w:t>
      </w:r>
    </w:p>
    <w:p w14:paraId="0B36CEFB">
      <w:pPr>
        <w:rPr>
          <w:color w:val="auto"/>
          <w:highlight w:val="none"/>
        </w:rPr>
      </w:pPr>
    </w:p>
    <w:p w14:paraId="12E887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MDc1ZGNhMmRkM2VhMDIxZGIyMzNkMzUzMGJhN2EifQ=="/>
  </w:docVars>
  <w:rsids>
    <w:rsidRoot w:val="7B317C53"/>
    <w:rsid w:val="7B317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widowControl w:val="0"/>
      <w:spacing w:before="260" w:after="260" w:line="412"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rPr>
      <w:kern w:val="2"/>
      <w:sz w:val="21"/>
      <w:szCs w:val="24"/>
    </w:rPr>
  </w:style>
  <w:style w:type="paragraph" w:styleId="4">
    <w:name w:val="Plain Text"/>
    <w:basedOn w:val="1"/>
    <w:qFormat/>
    <w:uiPriority w:val="99"/>
    <w:rPr>
      <w:rFonts w:ascii="宋体"/>
      <w:szCs w:val="21"/>
    </w:rPr>
  </w:style>
  <w:style w:type="paragraph" w:customStyle="1" w:styleId="7">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2024-08-30T07:29:00Z</dcterms:created>
  <dc:creator>岛崎鱼肉</dc:creator>
  <cp:lastModifiedBy>岛崎鱼肉</cp:lastModifiedBy>
  <dcterms:modified xsi:type="dcterms:W3CDTF">2024-08-30T07:29:41Z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9A1E1D94269A46F68C256D8962D89344_11</vt:lpwstr>
  </property>
</Properties>
</file>