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17DDE">
      <w:pPr>
        <w:spacing w:line="400" w:lineRule="exact"/>
        <w:outlineLvl w:val="2"/>
        <w:rPr>
          <w:rFonts w:hint="eastAsia" w:ascii="宋体" w:hAnsi="宋体"/>
          <w:b/>
          <w:color w:val="auto"/>
          <w:sz w:val="24"/>
          <w:highlight w:val="none"/>
        </w:rPr>
      </w:pPr>
      <w:r>
        <w:rPr>
          <w:rFonts w:hint="eastAsia" w:ascii="宋体" w:hAnsi="宋体"/>
          <w:b/>
          <w:color w:val="auto"/>
          <w:sz w:val="24"/>
          <w:highlight w:val="none"/>
        </w:rPr>
        <w:t>附件1：资格审查条件</w:t>
      </w:r>
    </w:p>
    <w:p w14:paraId="1C4C5C78">
      <w:pPr>
        <w:adjustRightInd w:val="0"/>
        <w:snapToGrid w:val="0"/>
        <w:jc w:val="center"/>
        <w:rPr>
          <w:rFonts w:hint="eastAsia" w:ascii="宋体" w:hAnsi="宋体" w:cs="宋体"/>
          <w:b/>
          <w:color w:val="auto"/>
          <w:szCs w:val="21"/>
          <w:highlight w:val="none"/>
        </w:rPr>
      </w:pPr>
      <w:bookmarkStart w:id="0" w:name="_Toc385352033"/>
      <w:bookmarkStart w:id="1" w:name="_Toc343514639"/>
      <w:bookmarkStart w:id="2" w:name="_Toc343514741"/>
      <w:bookmarkStart w:id="3" w:name="_Toc377105625"/>
      <w:bookmarkStart w:id="4" w:name="_Toc343514334"/>
      <w:r>
        <w:rPr>
          <w:rFonts w:hint="eastAsia" w:ascii="宋体" w:hAnsi="宋体" w:cs="宋体"/>
          <w:b/>
          <w:color w:val="auto"/>
          <w:szCs w:val="21"/>
          <w:highlight w:val="none"/>
        </w:rPr>
        <w:t xml:space="preserve">附录1 资格审查条件（资质最低要求） </w:t>
      </w:r>
      <w:bookmarkEnd w:id="0"/>
      <w:bookmarkEnd w:id="1"/>
      <w:bookmarkEnd w:id="2"/>
      <w:bookmarkEnd w:id="3"/>
      <w:bookmarkEnd w:id="4"/>
    </w:p>
    <w:tbl>
      <w:tblPr>
        <w:tblStyle w:val="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22"/>
      </w:tblGrid>
      <w:tr w14:paraId="1DBB7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5000" w:type="pct"/>
            <w:tcBorders>
              <w:bottom w:val="single" w:color="auto" w:sz="4" w:space="0"/>
            </w:tcBorders>
            <w:noWrap w:val="0"/>
            <w:vAlign w:val="center"/>
          </w:tcPr>
          <w:p w14:paraId="79B06366">
            <w:pPr>
              <w:jc w:val="center"/>
              <w:rPr>
                <w:rFonts w:hint="eastAsia" w:ascii="宋体" w:hAnsi="宋体" w:cs="宋体"/>
                <w:b/>
                <w:color w:val="auto"/>
                <w:szCs w:val="21"/>
                <w:highlight w:val="none"/>
              </w:rPr>
            </w:pPr>
            <w:r>
              <w:rPr>
                <w:rFonts w:hint="eastAsia" w:ascii="宋体" w:hAnsi="宋体" w:cs="宋体"/>
                <w:b/>
                <w:color w:val="auto"/>
                <w:szCs w:val="21"/>
                <w:highlight w:val="none"/>
              </w:rPr>
              <w:t>资质要求</w:t>
            </w:r>
          </w:p>
        </w:tc>
      </w:tr>
      <w:tr w14:paraId="0E7A0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4" w:hRule="atLeast"/>
        </w:trPr>
        <w:tc>
          <w:tcPr>
            <w:tcW w:w="5000" w:type="pct"/>
            <w:noWrap w:val="0"/>
            <w:vAlign w:val="center"/>
          </w:tcPr>
          <w:p w14:paraId="639E6066">
            <w:pPr>
              <w:pStyle w:val="3"/>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1.具有独立法人资格、持有有效的营业执照；</w:t>
            </w:r>
          </w:p>
          <w:p w14:paraId="4017FC7B">
            <w:pPr>
              <w:pStyle w:val="3"/>
              <w:spacing w:line="320" w:lineRule="exact"/>
              <w:ind w:firstLine="420" w:firstLineChars="200"/>
              <w:rPr>
                <w:rFonts w:hint="eastAsia"/>
                <w:color w:val="auto"/>
                <w:highlight w:val="none"/>
              </w:rPr>
            </w:pPr>
            <w:r>
              <w:rPr>
                <w:rFonts w:hint="eastAsia" w:ascii="宋体" w:hAnsi="宋体" w:cs="宋体"/>
                <w:color w:val="auto"/>
                <w:szCs w:val="21"/>
                <w:highlight w:val="none"/>
              </w:rPr>
              <w:t>2.具有交通主管部门颁发的公路工程综合甲级试验检测资质（或新版证书公路工程专业甲级）（独立法人单位下属的非独立法人检测机构具有上述资质的，视为该独立法人单位具有相应资质）。</w:t>
            </w:r>
          </w:p>
        </w:tc>
      </w:tr>
    </w:tbl>
    <w:p w14:paraId="01F795D3">
      <w:pPr>
        <w:adjustRightInd w:val="0"/>
        <w:snapToGrid w:val="0"/>
        <w:rPr>
          <w:rFonts w:hint="eastAsia" w:ascii="宋体" w:hAnsi="宋体" w:cs="宋体"/>
          <w:b/>
          <w:color w:val="auto"/>
          <w:szCs w:val="21"/>
          <w:highlight w:val="none"/>
        </w:rPr>
      </w:pPr>
      <w:bookmarkStart w:id="5" w:name="_Toc385352035"/>
      <w:bookmarkStart w:id="6" w:name="_Toc343514743"/>
      <w:bookmarkStart w:id="7" w:name="_Toc377105627"/>
      <w:bookmarkStart w:id="8" w:name="_Toc343514336"/>
      <w:bookmarkStart w:id="9" w:name="_Toc343514641"/>
    </w:p>
    <w:p w14:paraId="2A6A541B">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附录2资格审查条件 （业绩最低要求）</w:t>
      </w:r>
      <w:bookmarkEnd w:id="5"/>
      <w:bookmarkEnd w:id="6"/>
      <w:bookmarkEnd w:id="7"/>
      <w:bookmarkEnd w:id="8"/>
      <w:bookmarkEnd w:id="9"/>
    </w:p>
    <w:tbl>
      <w:tblPr>
        <w:tblStyle w:val="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22"/>
      </w:tblGrid>
      <w:tr w14:paraId="4A62B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6" w:hRule="atLeast"/>
        </w:trPr>
        <w:tc>
          <w:tcPr>
            <w:tcW w:w="5000" w:type="pct"/>
            <w:noWrap w:val="0"/>
            <w:vAlign w:val="center"/>
          </w:tcPr>
          <w:p w14:paraId="7F2B51BB">
            <w:pPr>
              <w:jc w:val="center"/>
              <w:rPr>
                <w:rFonts w:hint="eastAsia" w:ascii="宋体" w:hAnsi="宋体" w:cs="宋体"/>
                <w:color w:val="auto"/>
                <w:szCs w:val="21"/>
                <w:highlight w:val="none"/>
              </w:rPr>
            </w:pPr>
            <w:r>
              <w:rPr>
                <w:rFonts w:hint="eastAsia" w:ascii="宋体" w:hAnsi="宋体" w:cs="宋体"/>
                <w:b/>
                <w:color w:val="auto"/>
                <w:szCs w:val="21"/>
                <w:highlight w:val="none"/>
              </w:rPr>
              <w:t>业绩要求</w:t>
            </w:r>
          </w:p>
        </w:tc>
      </w:tr>
      <w:tr w14:paraId="76F97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4" w:hRule="atLeast"/>
        </w:trPr>
        <w:tc>
          <w:tcPr>
            <w:tcW w:w="5000" w:type="pct"/>
            <w:tcBorders>
              <w:bottom w:val="single" w:color="auto" w:sz="4" w:space="0"/>
            </w:tcBorders>
            <w:noWrap w:val="0"/>
            <w:vAlign w:val="center"/>
          </w:tcPr>
          <w:p w14:paraId="62F7A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近5年内(2019年8月1日至今，以合同签订日期为准)至少承担过1项高速公路基础设施智能监测与安全评估系统相关业绩（内容包括基础设施监测（或监控）或健康监测或安全监测或智能监测与预警等；基础设施指道路或桥梁或隧道等）。</w:t>
            </w:r>
          </w:p>
        </w:tc>
      </w:tr>
    </w:tbl>
    <w:p w14:paraId="3DB12E6C">
      <w:pPr>
        <w:adjustRightInd w:val="0"/>
        <w:snapToGrid w:val="0"/>
        <w:rPr>
          <w:rFonts w:hint="eastAsia" w:ascii="宋体" w:hAnsi="宋体" w:cs="宋体"/>
          <w:b/>
          <w:color w:val="auto"/>
          <w:szCs w:val="21"/>
          <w:highlight w:val="none"/>
        </w:rPr>
      </w:pPr>
      <w:bookmarkStart w:id="10" w:name="_Toc385352036"/>
      <w:bookmarkStart w:id="11" w:name="_Toc343514642"/>
      <w:bookmarkStart w:id="12" w:name="_Toc343514337"/>
      <w:bookmarkStart w:id="13" w:name="_Toc343514744"/>
      <w:bookmarkStart w:id="14" w:name="_Toc377105628"/>
    </w:p>
    <w:p w14:paraId="7B474374">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附录3资格审查条件（信誉最低要求）</w:t>
      </w:r>
      <w:bookmarkEnd w:id="10"/>
      <w:bookmarkEnd w:id="11"/>
      <w:bookmarkEnd w:id="12"/>
      <w:bookmarkEnd w:id="13"/>
      <w:bookmarkEnd w:id="14"/>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77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0" w:type="pct"/>
            <w:noWrap w:val="0"/>
            <w:vAlign w:val="center"/>
          </w:tcPr>
          <w:p w14:paraId="6ACF1529">
            <w:pPr>
              <w:jc w:val="center"/>
              <w:rPr>
                <w:rFonts w:hint="eastAsia" w:ascii="宋体" w:hAnsi="宋体" w:cs="宋体"/>
                <w:b/>
                <w:color w:val="auto"/>
                <w:szCs w:val="21"/>
                <w:highlight w:val="none"/>
              </w:rPr>
            </w:pPr>
            <w:r>
              <w:rPr>
                <w:rFonts w:hint="eastAsia" w:ascii="宋体" w:hAnsi="宋体" w:cs="宋体"/>
                <w:b/>
                <w:color w:val="auto"/>
                <w:szCs w:val="21"/>
                <w:highlight w:val="none"/>
              </w:rPr>
              <w:t>信誉要求</w:t>
            </w:r>
          </w:p>
        </w:tc>
      </w:tr>
      <w:tr w14:paraId="77F2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vMerge w:val="restart"/>
            <w:noWrap w:val="0"/>
            <w:vAlign w:val="center"/>
          </w:tcPr>
          <w:p w14:paraId="280181F2">
            <w:pPr>
              <w:ind w:firstLine="420" w:firstLineChars="200"/>
              <w:rPr>
                <w:rFonts w:hint="eastAsia" w:ascii="宋体" w:hAnsi="宋体" w:cs="宋体"/>
                <w:strike/>
                <w:color w:val="auto"/>
                <w:szCs w:val="21"/>
                <w:highlight w:val="none"/>
              </w:rPr>
            </w:pPr>
            <w:r>
              <w:rPr>
                <w:rFonts w:hint="eastAsia" w:ascii="宋体" w:hAnsi="宋体" w:cs="宋体"/>
                <w:color w:val="auto"/>
                <w:szCs w:val="21"/>
                <w:highlight w:val="none"/>
              </w:rPr>
              <w:t>投标人在近1年（2023年8月1日至今）中不曾在高速公路监测服务项目中违约而被驱逐或因投标人自身的原因而使高速公路合同被解除。</w:t>
            </w:r>
          </w:p>
        </w:tc>
      </w:tr>
      <w:tr w14:paraId="500E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00" w:type="pct"/>
            <w:vMerge w:val="continue"/>
            <w:noWrap w:val="0"/>
            <w:vAlign w:val="center"/>
          </w:tcPr>
          <w:p w14:paraId="29181315">
            <w:pPr>
              <w:rPr>
                <w:rFonts w:hint="eastAsia" w:ascii="宋体" w:hAnsi="宋体" w:cs="宋体"/>
                <w:color w:val="auto"/>
                <w:szCs w:val="21"/>
                <w:highlight w:val="none"/>
              </w:rPr>
            </w:pPr>
          </w:p>
        </w:tc>
      </w:tr>
    </w:tbl>
    <w:p w14:paraId="710C9520">
      <w:pPr>
        <w:adjustRightInd w:val="0"/>
        <w:snapToGrid w:val="0"/>
        <w:rPr>
          <w:rFonts w:hint="eastAsia" w:ascii="宋体" w:hAnsi="宋体" w:cs="宋体"/>
          <w:b/>
          <w:color w:val="auto"/>
          <w:szCs w:val="21"/>
          <w:highlight w:val="none"/>
        </w:rPr>
      </w:pPr>
      <w:bookmarkStart w:id="15" w:name="_Toc343514745"/>
      <w:bookmarkStart w:id="16" w:name="_Toc377105629"/>
      <w:bookmarkStart w:id="17" w:name="_Toc343514643"/>
      <w:bookmarkStart w:id="18" w:name="_Toc385352037"/>
      <w:bookmarkStart w:id="19" w:name="_Toc343514338"/>
    </w:p>
    <w:p w14:paraId="7CA9CA17">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附录4</w:t>
      </w:r>
      <w:r>
        <w:rPr>
          <w:rFonts w:hint="eastAsia" w:cs="宋体"/>
          <w:b/>
          <w:color w:val="auto"/>
          <w:szCs w:val="21"/>
          <w:highlight w:val="none"/>
        </w:rPr>
        <w:t>资格审查条件（主要人员最低要求）</w:t>
      </w:r>
      <w:bookmarkEnd w:id="15"/>
      <w:bookmarkEnd w:id="16"/>
      <w:bookmarkEnd w:id="17"/>
      <w:bookmarkEnd w:id="18"/>
      <w:bookmarkEnd w:id="19"/>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5"/>
        <w:gridCol w:w="677"/>
        <w:gridCol w:w="6570"/>
      </w:tblGrid>
      <w:tr w14:paraId="0C50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blHeader/>
          <w:jc w:val="center"/>
        </w:trPr>
        <w:tc>
          <w:tcPr>
            <w:tcW w:w="1377" w:type="dxa"/>
            <w:noWrap w:val="0"/>
            <w:vAlign w:val="center"/>
          </w:tcPr>
          <w:p w14:paraId="0ECF7D49">
            <w:pPr>
              <w:pStyle w:val="4"/>
              <w:spacing w:before="0" w:beforeAutospacing="0" w:after="0" w:afterAutospacing="0"/>
              <w:contextualSpacing/>
              <w:jc w:val="center"/>
              <w:rPr>
                <w:rFonts w:hint="eastAsia" w:hAnsi="宋体" w:cs="宋体"/>
                <w:color w:val="auto"/>
                <w:sz w:val="21"/>
                <w:szCs w:val="21"/>
                <w:highlight w:val="none"/>
              </w:rPr>
            </w:pPr>
            <w:r>
              <w:rPr>
                <w:rFonts w:hint="eastAsia" w:hAnsi="宋体" w:cs="宋体"/>
                <w:color w:val="auto"/>
                <w:sz w:val="21"/>
                <w:szCs w:val="21"/>
                <w:highlight w:val="none"/>
              </w:rPr>
              <w:t>人员</w:t>
            </w:r>
          </w:p>
        </w:tc>
        <w:tc>
          <w:tcPr>
            <w:tcW w:w="707" w:type="dxa"/>
            <w:noWrap w:val="0"/>
            <w:vAlign w:val="center"/>
          </w:tcPr>
          <w:p w14:paraId="1A48CE87">
            <w:pPr>
              <w:pStyle w:val="4"/>
              <w:spacing w:before="0" w:beforeAutospacing="0" w:after="0" w:afterAutospacing="0"/>
              <w:contextualSpacing/>
              <w:jc w:val="center"/>
              <w:rPr>
                <w:rFonts w:hint="eastAsia" w:hAnsi="宋体" w:cs="宋体"/>
                <w:color w:val="auto"/>
                <w:sz w:val="21"/>
                <w:szCs w:val="21"/>
                <w:highlight w:val="none"/>
              </w:rPr>
            </w:pPr>
            <w:r>
              <w:rPr>
                <w:rFonts w:hint="eastAsia" w:hAnsi="宋体" w:cs="宋体"/>
                <w:color w:val="auto"/>
                <w:sz w:val="21"/>
                <w:szCs w:val="21"/>
                <w:highlight w:val="none"/>
              </w:rPr>
              <w:t>数量</w:t>
            </w:r>
          </w:p>
        </w:tc>
        <w:tc>
          <w:tcPr>
            <w:tcW w:w="7260" w:type="dxa"/>
            <w:tcBorders>
              <w:right w:val="single" w:color="auto" w:sz="4" w:space="0"/>
            </w:tcBorders>
            <w:noWrap w:val="0"/>
            <w:vAlign w:val="center"/>
          </w:tcPr>
          <w:p w14:paraId="7A7B7C0C">
            <w:pPr>
              <w:jc w:val="center"/>
              <w:rPr>
                <w:rFonts w:hint="eastAsia" w:ascii="宋体" w:hAnsi="宋体" w:cs="宋体"/>
                <w:b/>
                <w:color w:val="auto"/>
                <w:szCs w:val="21"/>
                <w:highlight w:val="none"/>
              </w:rPr>
            </w:pPr>
            <w:r>
              <w:rPr>
                <w:rFonts w:hint="eastAsia" w:ascii="宋体" w:hAnsi="宋体" w:cs="宋体"/>
                <w:b/>
                <w:color w:val="auto"/>
                <w:szCs w:val="21"/>
                <w:highlight w:val="none"/>
              </w:rPr>
              <w:t>资格要求</w:t>
            </w:r>
          </w:p>
          <w:p w14:paraId="118B3081">
            <w:pPr>
              <w:jc w:val="center"/>
              <w:rPr>
                <w:rFonts w:ascii="宋体" w:hAnsi="宋体" w:cs="宋体"/>
                <w:b/>
                <w:color w:val="auto"/>
                <w:szCs w:val="21"/>
                <w:highlight w:val="none"/>
              </w:rPr>
            </w:pPr>
          </w:p>
        </w:tc>
      </w:tr>
      <w:tr w14:paraId="13BA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1377" w:type="dxa"/>
            <w:noWrap w:val="0"/>
            <w:vAlign w:val="center"/>
          </w:tcPr>
          <w:p w14:paraId="2AE46FDF">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707" w:type="dxa"/>
            <w:noWrap w:val="0"/>
            <w:vAlign w:val="center"/>
          </w:tcPr>
          <w:p w14:paraId="5286F3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1人</w:t>
            </w:r>
          </w:p>
        </w:tc>
        <w:tc>
          <w:tcPr>
            <w:tcW w:w="7260" w:type="dxa"/>
            <w:tcBorders>
              <w:right w:val="single" w:color="auto" w:sz="4" w:space="0"/>
            </w:tcBorders>
            <w:noWrap w:val="0"/>
            <w:vAlign w:val="center"/>
          </w:tcPr>
          <w:p w14:paraId="1CA3290D">
            <w:pPr>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高级职称，近5年内（2019年8月1日至今，以合同签订日期为准）担任过1项高速公路基础设施智能监测与安全评估系统相关业绩（内容包括基础设施监测（或监控）或健康监测或安全监测或智能监测与预警等；基础设施指道路或桥梁或隧道等）的项目负责人（或技术负责人）。</w:t>
            </w:r>
          </w:p>
          <w:p w14:paraId="65D85288">
            <w:pPr>
              <w:snapToGrid w:val="0"/>
              <w:spacing w:line="312" w:lineRule="auto"/>
              <w:rPr>
                <w:rFonts w:hint="eastAsia" w:ascii="宋体" w:hAnsi="宋体" w:cs="宋体"/>
                <w:color w:val="auto"/>
                <w:szCs w:val="21"/>
                <w:highlight w:val="none"/>
              </w:rPr>
            </w:pPr>
          </w:p>
        </w:tc>
      </w:tr>
    </w:tbl>
    <w:p w14:paraId="19D20209">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Dc1ZGNhMmRkM2VhMDIxZGIyMzNkMzUzMGJhN2EifQ=="/>
  </w:docVars>
  <w:rsids>
    <w:rsidRoot w:val="649C75FF"/>
    <w:rsid w:val="649C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widowControl w:val="0"/>
      <w:spacing w:before="260" w:after="260" w:line="412"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kern w:val="2"/>
      <w:sz w:val="21"/>
      <w:szCs w:val="24"/>
    </w:rPr>
  </w:style>
  <w:style w:type="paragraph" w:styleId="4">
    <w:name w:val="Normal (Web)"/>
    <w:basedOn w:val="1"/>
    <w:qFormat/>
    <w:uiPriority w:val="0"/>
    <w:pPr>
      <w:widowControl/>
      <w:spacing w:before="100" w:beforeAutospacing="1" w:after="100" w:afterAutospacing="1"/>
      <w:jc w:val="left"/>
    </w:pPr>
    <w:rPr>
      <w:rFonts w:ascii="宋体"/>
      <w:color w:val="0000FF"/>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2024-08-30T07:28:00Z</dcterms:created>
  <dc:creator>岛崎鱼肉</dc:creator>
  <cp:lastModifiedBy>岛崎鱼肉</cp:lastModifiedBy>
  <dcterms:modified xsi:type="dcterms:W3CDTF">2024-08-30T07:29:19Z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464B66DAF64D4E7C96C2CBC00620A0F0_11</vt:lpwstr>
  </property>
</Properties>
</file>